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drawings/drawing10.xml" ContentType="application/vnd.openxmlformats-officedocument.drawingml.chartshap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407998087"/>
    <w:bookmarkStart w:id="1" w:name="_Toc408000681"/>
    <w:p w14:paraId="34FA13DE" w14:textId="77777777" w:rsidR="00B87841" w:rsidRPr="003C57DB" w:rsidRDefault="002D3723" w:rsidP="00B87841">
      <w:pPr>
        <w:rPr>
          <w:rFonts w:cs="Tahom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9E0A149" wp14:editId="39985536">
                <wp:simplePos x="0" y="0"/>
                <wp:positionH relativeFrom="column">
                  <wp:posOffset>3999865</wp:posOffset>
                </wp:positionH>
                <wp:positionV relativeFrom="paragraph">
                  <wp:posOffset>169545</wp:posOffset>
                </wp:positionV>
                <wp:extent cx="1794510" cy="342900"/>
                <wp:effectExtent l="0" t="0" r="15240" b="19050"/>
                <wp:wrapNone/>
                <wp:docPr id="4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451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517F4F" w14:textId="77777777" w:rsidR="00B87841" w:rsidRPr="00EE04E0" w:rsidRDefault="00B87841" w:rsidP="00B87841">
                            <w:pPr>
                              <w:ind w:firstLine="120"/>
                              <w:jc w:val="center"/>
                              <w:rPr>
                                <w:rFonts w:ascii="Garamond" w:hAnsi="Garamond"/>
                                <w:b/>
                              </w:rPr>
                            </w:pPr>
                            <w:r w:rsidRPr="00EE04E0">
                              <w:rPr>
                                <w:rFonts w:ascii="Garamond" w:hAnsi="Garamond" w:hint="eastAsia"/>
                                <w:b/>
                              </w:rPr>
                              <w:t>新聞稿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14.95pt;margin-top:13.35pt;width:141.3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yCIQAIAAFUEAAAOAAAAZHJzL2Uyb0RvYy54bWysVF2O0zAQfkfiDpbfadqQstuo6WrpUoS0&#10;/EgLB3AdJ7FwPMZ2m5QLrMQBlmcOwAE40O45GDvdUi3wgsiD5emMv5n5vpnOz/pWka2wToIu6GQ0&#10;pkRoDqXUdUE/vF89OaXEeaZLpkCLgu6Eo2eLx4/mnclFCg2oUliCINrlnSlo473Jk8TxRrTMjcAI&#10;jc4KbMs8mrZOSss6RG9Vko7Hz5IObGkscOEc/noxOOki4leV4P5tVTnhiSoo1ubjaeO5DmeymLO8&#10;tsw0ku/LYP9QRcukxqQHqAvmGdlY+RtUK7kFB5UfcWgTqCrJRewBu5mMH3Rz1TAjYi9IjjMHmtz/&#10;g+Vvtu8skWVBs5QSzVrU6O7m+vb717ubH7ffvpA0UNQZl2PklcFY3z+HHqWO7TpzCfyjIxqWDdO1&#10;OLcWukawEkuchJfJ0dMBxwWQdfcaSkzFNh4iUF/ZNvCHjBBER6l2B3lE7wkPKU9m2XSCLo6+p1k6&#10;G0f9EpbfvzbW+ZcCWhIuBbUof0Rn20vnQzUsvw8JyRwoWa6kUtGw9XqpLNkyHJVV/GIDD8KUJl1B&#10;Z9N0OhDwV4hx/P4E0UqPM69kW9DTQxDLA20vdBkn0jOphjuWrPSex0DdQKLv1/1elzWUO2TUwjDb&#10;uIt4acB+pqTDuS6o+7RhVlCiXmlUZTbJsrAI0cimJyka9tizPvYwzRGqoJ6S4br0w/JsjJV1g5mG&#10;OdBwjkpWMpIcJB+q2teNsxu53+9ZWI5jO0b9+jdY/AQAAP//AwBQSwMEFAAGAAgAAAAhAG5XcCLe&#10;AAAACQEAAA8AAABkcnMvZG93bnJldi54bWxMj8FOwzAMQO9I/ENkJC6IpSvQrqXphJBA7AYDwTVr&#10;vLYicUqTdeXvMSc4Wn56fq7Ws7NiwjH0nhQsFwkIpMabnloFb68PlysQIWoy2npCBd8YYF2fnlS6&#10;NP5ILzhtYytYQqHUCroYh1LK0HTodFj4AYl3ez86HXkcW2lGfWS5szJNkkw63RNf6PSA9x02n9uD&#10;U7C6fpo+wubq+b3J9raIF/n0+DUqdX42392CiDjHPxh+8zkdam7a+QOZIKyCLC0KRhWkWQ6CgWKZ&#10;3oDYsT3JQdaV/P9B/QMAAP//AwBQSwECLQAUAAYACAAAACEAtoM4kv4AAADhAQAAEwAAAAAAAAAA&#10;AAAAAAAAAAAAW0NvbnRlbnRfVHlwZXNdLnhtbFBLAQItABQABgAIAAAAIQA4/SH/1gAAAJQBAAAL&#10;AAAAAAAAAAAAAAAAAC8BAABfcmVscy8ucmVsc1BLAQItABQABgAIAAAAIQC/DyCIQAIAAFUEAAAO&#10;AAAAAAAAAAAAAAAAAC4CAABkcnMvZTJvRG9jLnhtbFBLAQItABQABgAIAAAAIQBuV3Ai3gAAAAkB&#10;AAAPAAAAAAAAAAAAAAAAAJoEAABkcnMvZG93bnJldi54bWxQSwUGAAAAAAQABADzAAAApQUAAAAA&#10;" o:allowincell="f">
                <v:textbox>
                  <w:txbxContent>
                    <w:p w14:paraId="05517F4F" w14:textId="77777777" w:rsidR="00B87841" w:rsidRPr="00EE04E0" w:rsidRDefault="00B87841" w:rsidP="00B87841">
                      <w:pPr>
                        <w:ind w:firstLine="120"/>
                        <w:jc w:val="center"/>
                        <w:rPr>
                          <w:rFonts w:ascii="Garamond" w:hAnsi="Garamond"/>
                          <w:b/>
                        </w:rPr>
                      </w:pPr>
                      <w:r w:rsidRPr="00EE04E0">
                        <w:rPr>
                          <w:rFonts w:ascii="Garamond" w:hAnsi="Garamond" w:hint="eastAsia"/>
                          <w:b/>
                        </w:rPr>
                        <w:t>新聞稿</w:t>
                      </w:r>
                    </w:p>
                  </w:txbxContent>
                </v:textbox>
              </v:shape>
            </w:pict>
          </mc:Fallback>
        </mc:AlternateContent>
      </w:r>
      <w:r w:rsidRPr="00B87841">
        <w:rPr>
          <w:rFonts w:cs="Tahoma"/>
          <w:noProof/>
        </w:rPr>
        <w:drawing>
          <wp:inline distT="0" distB="0" distL="0" distR="0" wp14:anchorId="2409D24F" wp14:editId="27D5E470">
            <wp:extent cx="3847465" cy="777875"/>
            <wp:effectExtent l="0" t="0" r="635" b="3175"/>
            <wp:docPr id="1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7465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8EF61" w14:textId="77777777" w:rsidR="00B87841" w:rsidRDefault="00B87841" w:rsidP="00B87841">
      <w:pPr>
        <w:jc w:val="center"/>
        <w:rPr>
          <w:rStyle w:val="a8"/>
          <w:sz w:val="28"/>
        </w:rPr>
      </w:pPr>
      <w:bookmarkStart w:id="2" w:name="_Toc407998081"/>
    </w:p>
    <w:p w14:paraId="3564643C" w14:textId="44CA211D" w:rsidR="00B87841" w:rsidRPr="00B54E14" w:rsidRDefault="00C914BD" w:rsidP="00B87841">
      <w:pPr>
        <w:jc w:val="center"/>
        <w:rPr>
          <w:rStyle w:val="a8"/>
          <w:rFonts w:ascii="微軟正黑體" w:eastAsia="微軟正黑體" w:hAnsi="微軟正黑體"/>
          <w:sz w:val="32"/>
        </w:rPr>
      </w:pPr>
      <w:r w:rsidRPr="00B54E14">
        <w:rPr>
          <w:rStyle w:val="a8"/>
          <w:rFonts w:ascii="微軟正黑體" w:eastAsia="微軟正黑體" w:hAnsi="微軟正黑體" w:hint="eastAsia"/>
          <w:sz w:val="32"/>
        </w:rPr>
        <w:t>香港大學公布</w:t>
      </w:r>
      <w:r>
        <w:rPr>
          <w:rStyle w:val="a8"/>
          <w:rFonts w:ascii="微軟正黑體" w:eastAsia="微軟正黑體" w:hAnsi="微軟正黑體"/>
          <w:sz w:val="32"/>
        </w:rPr>
        <w:t>2</w:t>
      </w:r>
      <w:r>
        <w:rPr>
          <w:rStyle w:val="a8"/>
          <w:rFonts w:ascii="微軟正黑體" w:eastAsia="微軟正黑體" w:hAnsi="微軟正黑體" w:hint="eastAsia"/>
          <w:sz w:val="32"/>
        </w:rPr>
        <w:t>015</w:t>
      </w:r>
      <w:r w:rsidRPr="00B54E14">
        <w:rPr>
          <w:rStyle w:val="a8"/>
          <w:rFonts w:ascii="微軟正黑體" w:eastAsia="微軟正黑體" w:hAnsi="微軟正黑體" w:hint="eastAsia"/>
          <w:sz w:val="32"/>
        </w:rPr>
        <w:t>年</w:t>
      </w:r>
      <w:r w:rsidR="00B87841" w:rsidRPr="00B54E14">
        <w:rPr>
          <w:rStyle w:val="a8"/>
          <w:rFonts w:ascii="微軟正黑體" w:eastAsia="微軟正黑體" w:hAnsi="微軟正黑體" w:hint="eastAsia"/>
          <w:sz w:val="32"/>
        </w:rPr>
        <w:t>第一季宏觀經濟預測</w:t>
      </w:r>
      <w:bookmarkEnd w:id="2"/>
    </w:p>
    <w:p w14:paraId="67661F58" w14:textId="77777777" w:rsidR="00B87841" w:rsidRPr="00091360" w:rsidRDefault="00B87841" w:rsidP="00B87841">
      <w:r>
        <w:t>2015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</w:p>
    <w:p w14:paraId="53CD7318" w14:textId="77777777" w:rsidR="00B87841" w:rsidRPr="003C57DB" w:rsidRDefault="00B87841" w:rsidP="00B87841">
      <w:pPr>
        <w:pStyle w:val="a6"/>
        <w:keepLines/>
        <w:rPr>
          <w:rFonts w:ascii="Tahoma" w:eastAsia="MS Mincho" w:hAnsi="Tahoma" w:cs="Tahoma"/>
          <w:lang w:eastAsia="zh-TW"/>
        </w:rPr>
      </w:pPr>
    </w:p>
    <w:p w14:paraId="0BC550CA" w14:textId="77777777" w:rsidR="00B87841" w:rsidRPr="00E22FCD" w:rsidRDefault="00B87841" w:rsidP="00B87841">
      <w:pPr>
        <w:pStyle w:val="1"/>
      </w:pPr>
      <w:bookmarkStart w:id="3" w:name="_Toc407998082"/>
      <w:bookmarkStart w:id="4" w:name="_Toc408000676"/>
      <w:r>
        <w:t xml:space="preserve">1  </w:t>
      </w:r>
      <w:bookmarkEnd w:id="3"/>
      <w:bookmarkEnd w:id="4"/>
      <w:r w:rsidRPr="00517949">
        <w:rPr>
          <w:rFonts w:ascii="微軟正黑體" w:eastAsia="微軟正黑體" w:hAnsi="微軟正黑體" w:hint="eastAsia"/>
        </w:rPr>
        <w:t>概論</w:t>
      </w:r>
    </w:p>
    <w:p w14:paraId="2BB90C88" w14:textId="19651C1F" w:rsidR="00B87841" w:rsidRPr="00517949" w:rsidRDefault="00B87841" w:rsidP="00B87841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香港大學香港經濟及商業策略研究所亞太經濟合作研究項目今天(1月6日)發表高頻宏觀經濟預測。報告指出，2014年第四季實質GDP較</w:t>
      </w:r>
      <w:r w:rsidR="001E756C">
        <w:rPr>
          <w:rFonts w:ascii="微軟正黑體" w:eastAsia="微軟正黑體" w:hAnsi="微軟正黑體" w:hint="eastAsia"/>
          <w:spacing w:val="20"/>
          <w:sz w:val="24"/>
          <w:lang w:eastAsia="zh-TW"/>
        </w:rPr>
        <w:t>2013</w:t>
      </w: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年同期上升2.5%，為上次公布的預測2.1%的上調。這調整反映私人消費開支較預期強。</w:t>
      </w:r>
    </w:p>
    <w:p w14:paraId="75228B41" w14:textId="77777777" w:rsidR="00B87841" w:rsidRPr="00517949" w:rsidRDefault="00B87841" w:rsidP="00E71F33"/>
    <w:p w14:paraId="49453240" w14:textId="77777777" w:rsidR="00B87841" w:rsidRPr="00517949" w:rsidRDefault="00B87841" w:rsidP="00B87841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預料2015年第一季實質GDP將較去年同期上升2.4%。</w:t>
      </w:r>
    </w:p>
    <w:p w14:paraId="7EA5A1FB" w14:textId="77777777" w:rsidR="00B87841" w:rsidRDefault="00B87841" w:rsidP="00E71F33"/>
    <w:p w14:paraId="33440721" w14:textId="77777777" w:rsidR="00B87841" w:rsidRDefault="00C20725" w:rsidP="00B87841">
      <w:pPr>
        <w:jc w:val="center"/>
        <w:rPr>
          <w:rStyle w:val="chart2Char"/>
        </w:rPr>
      </w:pPr>
      <w:r>
        <w:rPr>
          <w:noProof/>
        </w:rPr>
        <w:drawing>
          <wp:inline distT="0" distB="0" distL="0" distR="0" wp14:anchorId="53A957F4" wp14:editId="22A01F7B">
            <wp:extent cx="5715000" cy="3983355"/>
            <wp:effectExtent l="0" t="0" r="0" b="0"/>
            <wp:docPr id="43" name="Chart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3D25B06" w14:textId="77777777" w:rsidR="00B87841" w:rsidRDefault="00B87841" w:rsidP="00B87841">
      <w:pPr>
        <w:rPr>
          <w:rStyle w:val="chart2Char"/>
        </w:rPr>
      </w:pPr>
      <w:r w:rsidRPr="000B0D4F">
        <w:rPr>
          <w:rStyle w:val="chart2Char"/>
        </w:rPr>
        <w:br w:type="page"/>
      </w:r>
    </w:p>
    <w:p w14:paraId="47FACD72" w14:textId="502F00A9" w:rsidR="00B87841" w:rsidRPr="00517949" w:rsidRDefault="00B87841" w:rsidP="00B87841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lastRenderedPageBreak/>
        <w:t>2014年</w:t>
      </w:r>
      <w:r w:rsidR="00ED2CDC">
        <w:rPr>
          <w:rFonts w:ascii="微軟正黑體" w:eastAsia="微軟正黑體" w:hAnsi="微軟正黑體" w:hint="eastAsia"/>
          <w:spacing w:val="20"/>
          <w:sz w:val="24"/>
          <w:lang w:eastAsia="zh-TW"/>
        </w:rPr>
        <w:t>全</w:t>
      </w: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球</w:t>
      </w:r>
      <w:r w:rsidR="00ED2CDC">
        <w:rPr>
          <w:rFonts w:ascii="微軟正黑體" w:eastAsia="微軟正黑體" w:hAnsi="微軟正黑體" w:hint="eastAsia"/>
          <w:spacing w:val="20"/>
          <w:sz w:val="24"/>
          <w:lang w:eastAsia="zh-TW"/>
        </w:rPr>
        <w:t>經濟</w:t>
      </w: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的外部需求已有輕微復甦，尤其在2014的下半年。美國經濟穩健增長，由2014年第二季的4.6%，延</w:t>
      </w:r>
      <w:r w:rsidR="00ED2CDC">
        <w:rPr>
          <w:rFonts w:ascii="微軟正黑體" w:eastAsia="微軟正黑體" w:hAnsi="微軟正黑體" w:hint="eastAsia"/>
          <w:spacing w:val="20"/>
          <w:sz w:val="24"/>
          <w:lang w:eastAsia="zh-TW"/>
        </w:rPr>
        <w:t>伸</w:t>
      </w: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至第三季的3.9%，美國失業率</w:t>
      </w:r>
      <w:r w:rsidR="001E756C">
        <w:rPr>
          <w:rFonts w:ascii="微軟正黑體" w:eastAsia="微軟正黑體" w:hAnsi="微軟正黑體" w:hint="eastAsia"/>
          <w:spacing w:val="20"/>
          <w:sz w:val="24"/>
          <w:lang w:eastAsia="zh-TW"/>
        </w:rPr>
        <w:t>於2014年11月</w:t>
      </w: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保持於5.8%</w:t>
      </w:r>
      <w:r w:rsidR="00ED2CDC">
        <w:rPr>
          <w:rFonts w:ascii="微軟正黑體" w:eastAsia="微軟正黑體" w:hAnsi="微軟正黑體" w:hint="eastAsia"/>
          <w:spacing w:val="20"/>
          <w:sz w:val="24"/>
          <w:lang w:eastAsia="zh-TW"/>
        </w:rPr>
        <w:t>水平</w:t>
      </w: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。2014年中國經濟預期增長為7.4%。</w:t>
      </w:r>
    </w:p>
    <w:p w14:paraId="7BA86733" w14:textId="77777777" w:rsidR="00B87841" w:rsidRPr="00517949" w:rsidRDefault="00B87841" w:rsidP="00E71F33"/>
    <w:p w14:paraId="068C1919" w14:textId="77777777" w:rsidR="00B87841" w:rsidRDefault="00ED2CDC" w:rsidP="00B87841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在全</w:t>
      </w:r>
      <w:r w:rsidR="00B87841"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球經濟需求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温和復甦</w:t>
      </w:r>
      <w:r w:rsidR="00B87841"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及低息環境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下</w:t>
      </w:r>
      <w:r w:rsidR="00B87841"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，預期香港</w:t>
      </w:r>
      <w:r w:rsidR="00284374">
        <w:rPr>
          <w:rFonts w:ascii="微軟正黑體" w:eastAsia="微軟正黑體" w:hAnsi="微軟正黑體" w:hint="eastAsia"/>
          <w:spacing w:val="20"/>
          <w:sz w:val="24"/>
          <w:lang w:eastAsia="zh-TW"/>
        </w:rPr>
        <w:t>2014年</w:t>
      </w:r>
      <w:r w:rsidR="00B87841"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下半年實質經濟增長為2.6%，較上半年的2.2%略為快。預計</w:t>
      </w:r>
      <w:r w:rsidR="00284374">
        <w:rPr>
          <w:rFonts w:ascii="微軟正黑體" w:eastAsia="微軟正黑體" w:hAnsi="微軟正黑體" w:hint="eastAsia"/>
          <w:spacing w:val="20"/>
          <w:sz w:val="24"/>
          <w:lang w:eastAsia="zh-TW"/>
        </w:rPr>
        <w:t>2014年</w:t>
      </w:r>
      <w:r w:rsidR="00B87841"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香港全年實質</w:t>
      </w:r>
      <w:r w:rsidR="00023727">
        <w:rPr>
          <w:rFonts w:ascii="微軟正黑體" w:eastAsia="微軟正黑體" w:hAnsi="微軟正黑體" w:hint="eastAsia"/>
          <w:spacing w:val="20"/>
          <w:sz w:val="24"/>
          <w:lang w:eastAsia="zh-TW"/>
        </w:rPr>
        <w:t>GDP</w:t>
      </w:r>
      <w:r w:rsidR="00B87841"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增長為2.4%。</w:t>
      </w:r>
    </w:p>
    <w:p w14:paraId="362B75B9" w14:textId="77777777" w:rsidR="004D05AD" w:rsidRDefault="004D05AD" w:rsidP="00E71F33"/>
    <w:p w14:paraId="1D50AA09" w14:textId="736E4837" w:rsidR="00B87841" w:rsidRPr="00F8166B" w:rsidRDefault="004D05AD" w:rsidP="00B87841">
      <w:pPr>
        <w:jc w:val="center"/>
      </w:pPr>
      <w:r w:rsidRPr="004D05AD">
        <w:rPr>
          <w:noProof/>
        </w:rPr>
        <w:drawing>
          <wp:inline distT="0" distB="0" distL="0" distR="0" wp14:anchorId="68D549EF" wp14:editId="0264DF3C">
            <wp:extent cx="5310505" cy="2812211"/>
            <wp:effectExtent l="0" t="0" r="4445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297" cy="2829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7CB99" w14:textId="77777777" w:rsidR="00B87841" w:rsidRPr="00517949" w:rsidRDefault="00B87841" w:rsidP="00E71F33"/>
    <w:p w14:paraId="6C6A8C7D" w14:textId="39D57DCA" w:rsidR="00B87841" w:rsidRPr="00517949" w:rsidRDefault="00B87841" w:rsidP="00B87841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全年2.4%的經濟增長由本地及外部需求同時帶動，其中，1.5百分點增長由本地需求帶動</w:t>
      </w:r>
      <w:r w:rsidR="00480D56">
        <w:rPr>
          <w:rFonts w:ascii="微軟正黑體" w:eastAsia="微軟正黑體" w:hAnsi="微軟正黑體" w:hint="eastAsia"/>
          <w:spacing w:val="20"/>
          <w:sz w:val="24"/>
          <w:lang w:eastAsia="zh-TW"/>
        </w:rPr>
        <w:t>，</w:t>
      </w: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0.9百分點增長則由外部需求帶動。</w:t>
      </w:r>
    </w:p>
    <w:p w14:paraId="4E9C846E" w14:textId="77777777" w:rsidR="00B87841" w:rsidRPr="00517949" w:rsidRDefault="00B87841" w:rsidP="00E71F33"/>
    <w:p w14:paraId="659154E3" w14:textId="77777777" w:rsidR="00B87841" w:rsidRPr="00517949" w:rsidRDefault="00B87841" w:rsidP="00B87841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預料就業市場將維持平穏，估計失業率於</w:t>
      </w:r>
      <w:r w:rsidRPr="00517949">
        <w:rPr>
          <w:rFonts w:ascii="微軟正黑體" w:eastAsia="微軟正黑體" w:hAnsi="微軟正黑體"/>
          <w:spacing w:val="20"/>
          <w:sz w:val="24"/>
          <w:lang w:eastAsia="zh-TW"/>
        </w:rPr>
        <w:t>2014</w:t>
      </w: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年第四季及</w:t>
      </w:r>
      <w:r w:rsidRPr="00517949">
        <w:rPr>
          <w:rFonts w:ascii="微軟正黑體" w:eastAsia="微軟正黑體" w:hAnsi="微軟正黑體"/>
          <w:spacing w:val="20"/>
          <w:sz w:val="24"/>
          <w:lang w:eastAsia="zh-TW"/>
        </w:rPr>
        <w:t>2015</w:t>
      </w: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年第一季同為</w:t>
      </w:r>
      <w:r w:rsidRPr="00517949">
        <w:rPr>
          <w:rFonts w:ascii="微軟正黑體" w:eastAsia="微軟正黑體" w:hAnsi="微軟正黑體"/>
          <w:spacing w:val="20"/>
          <w:sz w:val="24"/>
          <w:lang w:eastAsia="zh-TW"/>
        </w:rPr>
        <w:t>3.3%</w:t>
      </w: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。</w:t>
      </w:r>
    </w:p>
    <w:p w14:paraId="13727C02" w14:textId="77777777" w:rsidR="00B87841" w:rsidRPr="00517949" w:rsidRDefault="00B87841" w:rsidP="00E71F33"/>
    <w:p w14:paraId="2A0C0FA7" w14:textId="77777777" w:rsidR="00B87841" w:rsidRPr="00517949" w:rsidRDefault="00B87841" w:rsidP="00B87841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預料短期內整體通脹率會維持穩定，預期2015年第一季的通脹率為4.4%。</w:t>
      </w:r>
    </w:p>
    <w:p w14:paraId="2BC1329D" w14:textId="77777777" w:rsidR="00B87841" w:rsidRPr="00517949" w:rsidRDefault="00B87841" w:rsidP="00E71F33"/>
    <w:p w14:paraId="2DBF8CAD" w14:textId="6EFE0F08" w:rsidR="00B87841" w:rsidRDefault="00B87841" w:rsidP="00B87841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預測的詳細內容分別見</w:t>
      </w:r>
      <w:bookmarkStart w:id="5" w:name="_GoBack"/>
      <w:bookmarkEnd w:id="5"/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頁圖表一及圖表二；而各項按月計算的指標性預測則見於圖表三。發表的所有增長比率皆是以按年計算的幅度為基礎。</w:t>
      </w:r>
    </w:p>
    <w:p w14:paraId="288481F2" w14:textId="77777777" w:rsidR="00B87841" w:rsidRDefault="00B87841" w:rsidP="00E71F33"/>
    <w:p w14:paraId="7E79E41F" w14:textId="77777777" w:rsidR="00B87841" w:rsidRPr="00B54E14" w:rsidRDefault="00B87841" w:rsidP="00B87841">
      <w:pPr>
        <w:rPr>
          <w:rStyle w:val="10"/>
          <w:rFonts w:ascii="微軟正黑體" w:eastAsia="微軟正黑體" w:hAnsi="微軟正黑體"/>
        </w:rPr>
      </w:pPr>
      <w:bookmarkStart w:id="6" w:name="_Toc407998083"/>
      <w:bookmarkStart w:id="7" w:name="_Toc408000677"/>
      <w:r>
        <w:rPr>
          <w:rStyle w:val="10"/>
        </w:rPr>
        <w:br w:type="column"/>
      </w:r>
      <w:r w:rsidRPr="00B54E14">
        <w:rPr>
          <w:rStyle w:val="10"/>
          <w:rFonts w:ascii="微軟正黑體" w:eastAsia="微軟正黑體" w:hAnsi="微軟正黑體"/>
        </w:rPr>
        <w:lastRenderedPageBreak/>
        <w:t xml:space="preserve">2  </w:t>
      </w:r>
      <w:bookmarkEnd w:id="6"/>
      <w:bookmarkEnd w:id="7"/>
      <w:r w:rsidRPr="00B54E14">
        <w:rPr>
          <w:rStyle w:val="10"/>
          <w:rFonts w:ascii="微軟正黑體" w:eastAsia="微軟正黑體" w:hAnsi="微軟正黑體" w:hint="eastAsia"/>
        </w:rPr>
        <w:t>本地需求</w:t>
      </w:r>
    </w:p>
    <w:p w14:paraId="253176D8" w14:textId="77777777" w:rsidR="00B87841" w:rsidRPr="00754D18" w:rsidRDefault="00B87841" w:rsidP="00B87841">
      <w:pPr>
        <w:pStyle w:val="2"/>
        <w:rPr>
          <w:rFonts w:ascii="微軟正黑體" w:eastAsia="微軟正黑體" w:hAnsi="微軟正黑體"/>
          <w:szCs w:val="32"/>
        </w:rPr>
      </w:pPr>
      <w:bookmarkStart w:id="8" w:name="_Toc407998084"/>
      <w:bookmarkStart w:id="9" w:name="_Toc408000678"/>
      <w:r w:rsidRPr="00754D18">
        <w:rPr>
          <w:rFonts w:ascii="微軟正黑體" w:eastAsia="微軟正黑體" w:hAnsi="微軟正黑體"/>
          <w:szCs w:val="32"/>
        </w:rPr>
        <w:t xml:space="preserve">2.1  </w:t>
      </w:r>
      <w:r w:rsidRPr="00754D18">
        <w:rPr>
          <w:rFonts w:ascii="微軟正黑體" w:eastAsia="微軟正黑體" w:hAnsi="微軟正黑體" w:hint="eastAsia"/>
          <w:szCs w:val="32"/>
        </w:rPr>
        <w:t>私人消費開支</w:t>
      </w:r>
      <w:bookmarkEnd w:id="8"/>
      <w:bookmarkEnd w:id="9"/>
    </w:p>
    <w:p w14:paraId="75A9006D" w14:textId="36393CD2" w:rsidR="00B87841" w:rsidRPr="00517949" w:rsidRDefault="00B87841" w:rsidP="00B87841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受惠於活躍</w:t>
      </w:r>
      <w:r w:rsidR="00B54E14">
        <w:rPr>
          <w:rFonts w:ascii="微軟正黑體" w:eastAsia="微軟正黑體" w:hAnsi="微軟正黑體" w:hint="eastAsia"/>
          <w:spacing w:val="20"/>
          <w:sz w:val="24"/>
          <w:lang w:eastAsia="zh-TW"/>
        </w:rPr>
        <w:t>的</w:t>
      </w: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就業市場及理想</w:t>
      </w:r>
      <w:r w:rsidR="00B54E14">
        <w:rPr>
          <w:rFonts w:ascii="微軟正黑體" w:eastAsia="微軟正黑體" w:hAnsi="微軟正黑體" w:hint="eastAsia"/>
          <w:spacing w:val="20"/>
          <w:sz w:val="24"/>
          <w:lang w:eastAsia="zh-TW"/>
        </w:rPr>
        <w:t>的</w:t>
      </w: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工資增長，私人消費開支</w:t>
      </w:r>
      <w:r w:rsidR="000E628A">
        <w:rPr>
          <w:rFonts w:ascii="微軟正黑體" w:eastAsia="微軟正黑體" w:hAnsi="微軟正黑體" w:hint="eastAsia"/>
          <w:spacing w:val="20"/>
          <w:sz w:val="24"/>
          <w:lang w:eastAsia="zh-TW"/>
        </w:rPr>
        <w:t>由</w:t>
      </w: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2014年第二季增長1.2%</w:t>
      </w:r>
      <w:r w:rsidR="00B54E14">
        <w:rPr>
          <w:rFonts w:ascii="微軟正黑體" w:eastAsia="微軟正黑體" w:hAnsi="微軟正黑體" w:hint="eastAsia"/>
          <w:spacing w:val="20"/>
          <w:sz w:val="24"/>
          <w:lang w:eastAsia="zh-TW"/>
        </w:rPr>
        <w:t>，</w:t>
      </w: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上升至第三季增長3.2%。預料2014年第四季私人消費開支將輕微減速</w:t>
      </w:r>
      <w:r w:rsidR="00B54E14">
        <w:rPr>
          <w:rFonts w:ascii="微軟正黑體" w:eastAsia="微軟正黑體" w:hAnsi="微軟正黑體" w:hint="eastAsia"/>
          <w:spacing w:val="20"/>
          <w:sz w:val="24"/>
          <w:lang w:eastAsia="zh-TW"/>
        </w:rPr>
        <w:t>，</w:t>
      </w: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增長2.9%，2014全年增長為2.2%。</w:t>
      </w:r>
    </w:p>
    <w:p w14:paraId="6F824C22" w14:textId="77777777" w:rsidR="00B87841" w:rsidRPr="00517949" w:rsidRDefault="00B87841" w:rsidP="00E71F33"/>
    <w:p w14:paraId="0FFFA7C1" w14:textId="524085D2" w:rsidR="00B87841" w:rsidRPr="00E71F33" w:rsidRDefault="00B87841" w:rsidP="00E71F33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預測2015年第一季私人消費開支則上升3.7%，較上季略快。</w:t>
      </w:r>
    </w:p>
    <w:p w14:paraId="5DD35A2C" w14:textId="77777777" w:rsidR="00B87841" w:rsidRDefault="00C20725" w:rsidP="00B87841">
      <w:pPr>
        <w:pStyle w:val="chart2"/>
      </w:pPr>
      <w:r>
        <w:rPr>
          <w:noProof/>
        </w:rPr>
        <w:drawing>
          <wp:inline distT="0" distB="0" distL="0" distR="0" wp14:anchorId="4867255D" wp14:editId="38113228">
            <wp:extent cx="5715000" cy="3986530"/>
            <wp:effectExtent l="0" t="0" r="0" b="0"/>
            <wp:docPr id="44" name="Chart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103739A1" w14:textId="77777777" w:rsidR="00B87841" w:rsidRDefault="00B87841" w:rsidP="00B87841">
      <w:pPr>
        <w:pStyle w:val="chart2"/>
      </w:pPr>
    </w:p>
    <w:p w14:paraId="31AAA1B1" w14:textId="77777777" w:rsidR="00B87841" w:rsidRPr="00754D18" w:rsidRDefault="00B87841" w:rsidP="00B87841">
      <w:pPr>
        <w:pStyle w:val="2"/>
        <w:rPr>
          <w:rFonts w:ascii="微軟正黑體" w:eastAsia="微軟正黑體" w:hAnsi="微軟正黑體"/>
          <w:szCs w:val="32"/>
        </w:rPr>
      </w:pPr>
      <w:r>
        <w:br w:type="page"/>
      </w:r>
      <w:bookmarkStart w:id="10" w:name="_Toc407998085"/>
      <w:bookmarkStart w:id="11" w:name="_Toc408000679"/>
      <w:r w:rsidRPr="00754D18">
        <w:rPr>
          <w:rFonts w:ascii="微軟正黑體" w:eastAsia="微軟正黑體" w:hAnsi="微軟正黑體"/>
          <w:szCs w:val="32"/>
        </w:rPr>
        <w:lastRenderedPageBreak/>
        <w:t xml:space="preserve">2.2  </w:t>
      </w:r>
      <w:bookmarkEnd w:id="10"/>
      <w:bookmarkEnd w:id="11"/>
      <w:r w:rsidRPr="00754D18">
        <w:rPr>
          <w:rFonts w:ascii="微軟正黑體" w:eastAsia="微軟正黑體" w:hAnsi="微軟正黑體" w:hint="eastAsia"/>
          <w:szCs w:val="32"/>
        </w:rPr>
        <w:t>零售量</w:t>
      </w:r>
    </w:p>
    <w:p w14:paraId="7A09D2B9" w14:textId="77777777" w:rsidR="00B87841" w:rsidRPr="00517949" w:rsidRDefault="00B87841" w:rsidP="00B87841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2014年11月零售量增長7.5％，主要是由於智能電話推出所帶動。零售量由2014上半年下跌1.1%</w:t>
      </w:r>
      <w:r w:rsidR="00B54E14">
        <w:rPr>
          <w:rFonts w:ascii="微軟正黑體" w:eastAsia="微軟正黑體" w:hAnsi="微軟正黑體" w:hint="eastAsia"/>
          <w:spacing w:val="20"/>
          <w:sz w:val="24"/>
          <w:lang w:eastAsia="zh-TW"/>
        </w:rPr>
        <w:t>的弱勢</w:t>
      </w: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，</w:t>
      </w:r>
      <w:r w:rsidR="00B54E14">
        <w:rPr>
          <w:rFonts w:ascii="微軟正黑體" w:eastAsia="微軟正黑體" w:hAnsi="微軟正黑體" w:hint="eastAsia"/>
          <w:spacing w:val="20"/>
          <w:sz w:val="24"/>
          <w:lang w:eastAsia="zh-TW"/>
        </w:rPr>
        <w:t>至</w:t>
      </w: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2014下半年則回復增長至2.8%。因此，預計零售量增長在2014全年增長0.8%。當中，2014年第四季的增長為4.3%。</w:t>
      </w:r>
    </w:p>
    <w:p w14:paraId="65E5F1B9" w14:textId="77777777" w:rsidR="00B87841" w:rsidRPr="00517949" w:rsidRDefault="00B87841" w:rsidP="00E71F33"/>
    <w:p w14:paraId="4177436A" w14:textId="77777777" w:rsidR="00B87841" w:rsidRDefault="00B54E14" w:rsidP="00B87841">
      <w:pPr>
        <w:pStyle w:val="a6"/>
        <w:keepLines/>
        <w:spacing w:line="320" w:lineRule="exact"/>
        <w:rPr>
          <w:lang w:eastAsia="zh-TW"/>
        </w:rPr>
      </w:pP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預期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在</w:t>
      </w:r>
      <w:r w:rsidR="00B87841"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2015年第一季零售量增長則減慢至1.6%。</w:t>
      </w:r>
    </w:p>
    <w:p w14:paraId="176200FE" w14:textId="77777777" w:rsidR="00B87841" w:rsidRDefault="00B87841" w:rsidP="00B87841"/>
    <w:p w14:paraId="25CCCEB1" w14:textId="77777777" w:rsidR="00B87841" w:rsidRPr="00F8166B" w:rsidRDefault="00C20725" w:rsidP="00B87841">
      <w:pPr>
        <w:pStyle w:val="chart2"/>
      </w:pPr>
      <w:r>
        <w:rPr>
          <w:noProof/>
        </w:rPr>
        <w:drawing>
          <wp:inline distT="0" distB="0" distL="0" distR="0" wp14:anchorId="06BE0C6A" wp14:editId="571727F2">
            <wp:extent cx="5715000" cy="3986530"/>
            <wp:effectExtent l="0" t="0" r="0" b="0"/>
            <wp:docPr id="45" name="Chart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3D221B8A" w14:textId="77777777" w:rsidR="00B87841" w:rsidRPr="00754D18" w:rsidRDefault="00B87841" w:rsidP="00B87841">
      <w:pPr>
        <w:pStyle w:val="2"/>
        <w:rPr>
          <w:rFonts w:ascii="微軟正黑體" w:eastAsia="微軟正黑體" w:hAnsi="微軟正黑體"/>
          <w:szCs w:val="32"/>
        </w:rPr>
      </w:pPr>
      <w:r>
        <w:br w:type="page"/>
      </w:r>
      <w:bookmarkStart w:id="12" w:name="_Toc407998086"/>
      <w:bookmarkStart w:id="13" w:name="_Toc408000680"/>
      <w:r w:rsidRPr="00754D18">
        <w:rPr>
          <w:rFonts w:ascii="微軟正黑體" w:eastAsia="微軟正黑體" w:hAnsi="微軟正黑體"/>
          <w:szCs w:val="32"/>
        </w:rPr>
        <w:lastRenderedPageBreak/>
        <w:t xml:space="preserve">2.3  </w:t>
      </w:r>
      <w:r w:rsidRPr="00754D18">
        <w:rPr>
          <w:rFonts w:ascii="微軟正黑體" w:eastAsia="微軟正黑體" w:hAnsi="微軟正黑體" w:hint="eastAsia"/>
          <w:szCs w:val="32"/>
        </w:rPr>
        <w:t>固定資產投資總額</w:t>
      </w:r>
      <w:bookmarkEnd w:id="12"/>
      <w:bookmarkEnd w:id="13"/>
    </w:p>
    <w:p w14:paraId="608762A9" w14:textId="59AABF48" w:rsidR="00B87841" w:rsidRPr="00517949" w:rsidRDefault="00B87841" w:rsidP="00B87841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2014年第三季固定資產投資總額下跌4.7%，從第二季的5.7%跌幅收窄。由於機械及設備開支減慢，預期投資總額將會放緩。預料2014年第四季</w:t>
      </w:r>
      <w:r w:rsidR="007E755A" w:rsidRPr="007E755A">
        <w:rPr>
          <w:rFonts w:ascii="微軟正黑體" w:eastAsia="微軟正黑體" w:hAnsi="微軟正黑體" w:hint="eastAsia"/>
          <w:spacing w:val="20"/>
          <w:sz w:val="24"/>
          <w:lang w:eastAsia="zh-TW"/>
        </w:rPr>
        <w:t>固定資產投資總額</w:t>
      </w: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下跌5.1%，2014全年下跌3.3%。</w:t>
      </w:r>
    </w:p>
    <w:p w14:paraId="44E0CBF4" w14:textId="77777777" w:rsidR="00B87841" w:rsidRPr="00517949" w:rsidRDefault="00B87841" w:rsidP="00E71F33"/>
    <w:p w14:paraId="7EFD3251" w14:textId="0679257F" w:rsidR="00B87841" w:rsidRDefault="00B54E14" w:rsidP="00B87841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預計</w:t>
      </w:r>
      <w:r w:rsidR="007E755A" w:rsidRPr="007E755A">
        <w:rPr>
          <w:rFonts w:ascii="微軟正黑體" w:eastAsia="微軟正黑體" w:hAnsi="微軟正黑體" w:hint="eastAsia"/>
          <w:spacing w:val="20"/>
          <w:sz w:val="24"/>
          <w:lang w:eastAsia="zh-TW"/>
        </w:rPr>
        <w:t>固定資產投資總額</w:t>
      </w:r>
      <w:r w:rsidR="00B87841" w:rsidRPr="00517949">
        <w:rPr>
          <w:rFonts w:ascii="微軟正黑體" w:eastAsia="微軟正黑體" w:hAnsi="微軟正黑體" w:hint="eastAsia"/>
          <w:spacing w:val="20"/>
          <w:sz w:val="24"/>
          <w:lang w:eastAsia="zh-TW"/>
        </w:rPr>
        <w:t>在2015年第一季逆轉增長5.4%。</w:t>
      </w:r>
    </w:p>
    <w:p w14:paraId="52805618" w14:textId="77777777" w:rsidR="00B87841" w:rsidRDefault="00B87841" w:rsidP="00B87841"/>
    <w:p w14:paraId="2073BC8C" w14:textId="77777777" w:rsidR="00B87841" w:rsidRDefault="00C20725" w:rsidP="00B87841">
      <w:pPr>
        <w:jc w:val="center"/>
      </w:pPr>
      <w:r>
        <w:rPr>
          <w:noProof/>
        </w:rPr>
        <w:drawing>
          <wp:inline distT="0" distB="0" distL="0" distR="0" wp14:anchorId="4180F9D0" wp14:editId="0BFC7AA1">
            <wp:extent cx="5715000" cy="3986530"/>
            <wp:effectExtent l="0" t="0" r="0" b="0"/>
            <wp:docPr id="46" name="Chart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13151AEF" w14:textId="77777777" w:rsidR="00B87841" w:rsidRPr="00F8166B" w:rsidRDefault="00B87841" w:rsidP="00B87841">
      <w:pPr>
        <w:jc w:val="center"/>
      </w:pPr>
    </w:p>
    <w:p w14:paraId="2BB6EEA9" w14:textId="77777777" w:rsidR="00B87841" w:rsidRPr="00F8166B" w:rsidRDefault="00B87841" w:rsidP="00B87841">
      <w:pPr>
        <w:pStyle w:val="chart2"/>
      </w:pPr>
    </w:p>
    <w:p w14:paraId="23EE86D6" w14:textId="77777777" w:rsidR="001759DC" w:rsidRPr="00F50E38" w:rsidRDefault="00B87841" w:rsidP="00B87841">
      <w:pPr>
        <w:pStyle w:val="1"/>
        <w:rPr>
          <w:rFonts w:ascii="微軟正黑體" w:eastAsia="微軟正黑體" w:hAnsi="微軟正黑體"/>
        </w:rPr>
      </w:pPr>
      <w:r>
        <w:br w:type="page"/>
      </w:r>
      <w:r w:rsidR="00B55534" w:rsidRPr="00F50E38">
        <w:rPr>
          <w:rFonts w:ascii="微軟正黑體" w:eastAsia="微軟正黑體" w:hAnsi="微軟正黑體"/>
        </w:rPr>
        <w:lastRenderedPageBreak/>
        <w:t>3</w:t>
      </w:r>
      <w:r w:rsidR="00CB6D0D" w:rsidRPr="00F50E38">
        <w:rPr>
          <w:rFonts w:ascii="微軟正黑體" w:eastAsia="微軟正黑體" w:hAnsi="微軟正黑體"/>
        </w:rPr>
        <w:t xml:space="preserve">  </w:t>
      </w:r>
      <w:r w:rsidR="00F50E38" w:rsidRPr="00F50E38">
        <w:rPr>
          <w:rFonts w:ascii="微軟正黑體" w:eastAsia="微軟正黑體" w:hAnsi="微軟正黑體" w:hint="eastAsia"/>
        </w:rPr>
        <w:t>外部需求</w:t>
      </w:r>
      <w:bookmarkEnd w:id="0"/>
      <w:bookmarkEnd w:id="1"/>
    </w:p>
    <w:p w14:paraId="6E3B3E6B" w14:textId="153A29D0" w:rsidR="00F50E38" w:rsidRPr="00E71F33" w:rsidRDefault="00B55534" w:rsidP="00E71F33">
      <w:pPr>
        <w:pStyle w:val="2"/>
        <w:rPr>
          <w:rFonts w:ascii="微軟正黑體" w:eastAsia="微軟正黑體" w:hAnsi="微軟正黑體"/>
          <w:szCs w:val="32"/>
        </w:rPr>
      </w:pPr>
      <w:bookmarkStart w:id="14" w:name="_Toc407998088"/>
      <w:bookmarkStart w:id="15" w:name="_Toc408000682"/>
      <w:r w:rsidRPr="00754D18">
        <w:rPr>
          <w:rFonts w:ascii="微軟正黑體" w:eastAsia="微軟正黑體" w:hAnsi="微軟正黑體"/>
          <w:szCs w:val="32"/>
        </w:rPr>
        <w:t>3.1</w:t>
      </w:r>
      <w:r w:rsidR="00CB6D0D" w:rsidRPr="00754D18">
        <w:rPr>
          <w:rFonts w:ascii="微軟正黑體" w:eastAsia="微軟正黑體" w:hAnsi="微軟正黑體"/>
          <w:szCs w:val="32"/>
        </w:rPr>
        <w:t xml:space="preserve">  </w:t>
      </w:r>
      <w:r w:rsidR="00F50E38" w:rsidRPr="00754D18">
        <w:rPr>
          <w:rFonts w:ascii="微軟正黑體" w:eastAsia="微軟正黑體" w:hAnsi="微軟正黑體" w:hint="eastAsia"/>
          <w:szCs w:val="32"/>
        </w:rPr>
        <w:t>貨物</w:t>
      </w:r>
      <w:bookmarkEnd w:id="14"/>
      <w:bookmarkEnd w:id="15"/>
    </w:p>
    <w:p w14:paraId="71D68EEC" w14:textId="25EAC1D7" w:rsidR="00F50E38" w:rsidRDefault="00F50E38" w:rsidP="00F50E38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在對外貿易方面，</w:t>
      </w:r>
      <w:r w:rsidRPr="004658CD">
        <w:rPr>
          <w:rFonts w:ascii="微軟正黑體" w:eastAsia="微軟正黑體" w:hAnsi="微軟正黑體" w:hint="eastAsia"/>
          <w:spacing w:val="20"/>
          <w:sz w:val="24"/>
          <w:lang w:eastAsia="zh-TW"/>
        </w:rPr>
        <w:t>貨物出口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由2014年第二季</w:t>
      </w:r>
      <w:r w:rsidR="007158FD">
        <w:rPr>
          <w:rFonts w:ascii="微軟正黑體" w:eastAsia="微軟正黑體" w:hAnsi="微軟正黑體" w:hint="eastAsia"/>
          <w:spacing w:val="20"/>
          <w:sz w:val="24"/>
          <w:lang w:eastAsia="zh-TW"/>
        </w:rPr>
        <w:t>的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2.4%增長，放緩至</w:t>
      </w:r>
      <w:r w:rsidRPr="004658CD">
        <w:rPr>
          <w:rFonts w:ascii="微軟正黑體" w:eastAsia="微軟正黑體" w:hAnsi="微軟正黑體" w:hint="eastAsia"/>
          <w:spacing w:val="20"/>
          <w:sz w:val="24"/>
          <w:lang w:eastAsia="zh-TW"/>
        </w:rPr>
        <w:t>第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三</w:t>
      </w:r>
      <w:r w:rsidRPr="004658CD">
        <w:rPr>
          <w:rFonts w:ascii="微軟正黑體" w:eastAsia="微軟正黑體" w:hAnsi="微軟正黑體" w:hint="eastAsia"/>
          <w:spacing w:val="20"/>
          <w:sz w:val="24"/>
          <w:lang w:eastAsia="zh-TW"/>
        </w:rPr>
        <w:t>季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增長1.3%</w:t>
      </w:r>
      <w:r w:rsidRPr="00D37957">
        <w:rPr>
          <w:rFonts w:ascii="微軟正黑體" w:eastAsia="微軟正黑體" w:hAnsi="微軟正黑體" w:hint="eastAsia"/>
          <w:spacing w:val="20"/>
          <w:sz w:val="24"/>
          <w:lang w:eastAsia="zh-TW"/>
        </w:rPr>
        <w:t>。</w:t>
      </w:r>
      <w:r w:rsidRPr="00F50E38">
        <w:rPr>
          <w:rFonts w:ascii="微軟正黑體" w:eastAsia="微軟正黑體" w:hAnsi="微軟正黑體" w:hint="eastAsia"/>
          <w:spacing w:val="20"/>
          <w:sz w:val="24"/>
          <w:lang w:eastAsia="zh-TW"/>
        </w:rPr>
        <w:t>預計在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2014年第四季只增長0.9</w:t>
      </w:r>
      <w:r w:rsidRPr="00F50E38">
        <w:rPr>
          <w:rFonts w:ascii="微軟正黑體" w:eastAsia="微軟正黑體" w:hAnsi="微軟正黑體" w:hint="eastAsia"/>
          <w:spacing w:val="20"/>
          <w:sz w:val="24"/>
          <w:lang w:eastAsia="zh-TW"/>
        </w:rPr>
        <w:t>％，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而</w:t>
      </w:r>
      <w:r w:rsidRPr="00F50E38">
        <w:rPr>
          <w:rFonts w:ascii="微軟正黑體" w:eastAsia="微軟正黑體" w:hAnsi="微軟正黑體" w:hint="eastAsia"/>
          <w:spacing w:val="20"/>
          <w:sz w:val="24"/>
          <w:lang w:eastAsia="zh-TW"/>
        </w:rPr>
        <w:t>2014年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全年增長1.3</w:t>
      </w:r>
      <w:r w:rsidRPr="00F50E38">
        <w:rPr>
          <w:rFonts w:ascii="微軟正黑體" w:eastAsia="微軟正黑體" w:hAnsi="微軟正黑體" w:hint="eastAsia"/>
          <w:spacing w:val="20"/>
          <w:sz w:val="24"/>
          <w:lang w:eastAsia="zh-TW"/>
        </w:rPr>
        <w:t>％。</w:t>
      </w:r>
    </w:p>
    <w:p w14:paraId="4F35DDE8" w14:textId="77777777" w:rsidR="00F50E38" w:rsidRDefault="00F50E38" w:rsidP="00E71F33"/>
    <w:p w14:paraId="608EF5F4" w14:textId="3A1B298D" w:rsidR="00F50E38" w:rsidRPr="00F50E38" w:rsidRDefault="00F50E38" w:rsidP="00F50E38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貨物</w:t>
      </w:r>
      <w:r w:rsidRPr="00F50E38">
        <w:rPr>
          <w:rFonts w:ascii="微軟正黑體" w:eastAsia="微軟正黑體" w:hAnsi="微軟正黑體" w:hint="eastAsia"/>
          <w:spacing w:val="20"/>
          <w:sz w:val="24"/>
          <w:lang w:eastAsia="zh-TW"/>
        </w:rPr>
        <w:t>進口表現出類似的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趨勢</w:t>
      </w:r>
      <w:r w:rsidRPr="00F50E38">
        <w:rPr>
          <w:rFonts w:ascii="微軟正黑體" w:eastAsia="微軟正黑體" w:hAnsi="微軟正黑體" w:hint="eastAsia"/>
          <w:spacing w:val="20"/>
          <w:sz w:val="24"/>
          <w:lang w:eastAsia="zh-TW"/>
        </w:rPr>
        <w:t>，從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2014年第二季</w:t>
      </w:r>
      <w:r w:rsidR="007158FD">
        <w:rPr>
          <w:rFonts w:ascii="微軟正黑體" w:eastAsia="微軟正黑體" w:hAnsi="微軟正黑體" w:hint="eastAsia"/>
          <w:spacing w:val="20"/>
          <w:sz w:val="24"/>
          <w:lang w:eastAsia="zh-TW"/>
        </w:rPr>
        <w:t>的</w:t>
      </w:r>
      <w:r w:rsidRPr="00F50E38">
        <w:rPr>
          <w:rFonts w:ascii="微軟正黑體" w:eastAsia="微軟正黑體" w:hAnsi="微軟正黑體" w:hint="eastAsia"/>
          <w:spacing w:val="20"/>
          <w:sz w:val="24"/>
          <w:lang w:eastAsia="zh-TW"/>
        </w:rPr>
        <w:t>1.1％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增長，放緩至2014年第三季只有</w:t>
      </w:r>
      <w:r w:rsidRPr="00F50E38">
        <w:rPr>
          <w:rFonts w:ascii="微軟正黑體" w:eastAsia="微軟正黑體" w:hAnsi="微軟正黑體" w:hint="eastAsia"/>
          <w:spacing w:val="20"/>
          <w:sz w:val="24"/>
          <w:lang w:eastAsia="zh-TW"/>
        </w:rPr>
        <w:t>0.7％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增長</w:t>
      </w:r>
      <w:r w:rsidRPr="00F50E38">
        <w:rPr>
          <w:rFonts w:ascii="微軟正黑體" w:eastAsia="微軟正黑體" w:hAnsi="微軟正黑體" w:hint="eastAsia"/>
          <w:spacing w:val="20"/>
          <w:sz w:val="24"/>
          <w:lang w:eastAsia="zh-TW"/>
        </w:rPr>
        <w:t>。預計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2014年第四季只增長</w:t>
      </w:r>
      <w:r w:rsidRPr="00F50E38">
        <w:rPr>
          <w:rFonts w:ascii="微軟正黑體" w:eastAsia="微軟正黑體" w:hAnsi="微軟正黑體" w:hint="eastAsia"/>
          <w:spacing w:val="20"/>
          <w:sz w:val="24"/>
          <w:lang w:eastAsia="zh-TW"/>
        </w:rPr>
        <w:t>0.</w:t>
      </w:r>
      <w:r w:rsidR="00CA7CEB">
        <w:rPr>
          <w:rFonts w:ascii="微軟正黑體" w:eastAsia="微軟正黑體" w:hAnsi="微軟正黑體" w:hint="eastAsia"/>
          <w:spacing w:val="20"/>
          <w:sz w:val="24"/>
          <w:lang w:eastAsia="zh-TW"/>
        </w:rPr>
        <w:t>5</w:t>
      </w:r>
      <w:r w:rsidRPr="00F50E38">
        <w:rPr>
          <w:rFonts w:ascii="微軟正黑體" w:eastAsia="微軟正黑體" w:hAnsi="微軟正黑體" w:hint="eastAsia"/>
          <w:spacing w:val="20"/>
          <w:sz w:val="24"/>
          <w:lang w:eastAsia="zh-TW"/>
        </w:rPr>
        <w:t>％，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而</w:t>
      </w:r>
      <w:r w:rsidRPr="00F50E38">
        <w:rPr>
          <w:rFonts w:ascii="微軟正黑體" w:eastAsia="微軟正黑體" w:hAnsi="微軟正黑體" w:hint="eastAsia"/>
          <w:spacing w:val="20"/>
          <w:sz w:val="24"/>
          <w:lang w:eastAsia="zh-TW"/>
        </w:rPr>
        <w:t>2014年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全年只微升</w:t>
      </w:r>
      <w:r w:rsidRPr="00F50E38">
        <w:rPr>
          <w:rFonts w:ascii="微軟正黑體" w:eastAsia="微軟正黑體" w:hAnsi="微軟正黑體" w:hint="eastAsia"/>
          <w:spacing w:val="20"/>
          <w:sz w:val="24"/>
          <w:lang w:eastAsia="zh-TW"/>
        </w:rPr>
        <w:t>0.</w:t>
      </w:r>
      <w:r w:rsidR="00CA7CEB">
        <w:rPr>
          <w:rFonts w:ascii="微軟正黑體" w:eastAsia="微軟正黑體" w:hAnsi="微軟正黑體" w:hint="eastAsia"/>
          <w:spacing w:val="20"/>
          <w:sz w:val="24"/>
          <w:lang w:eastAsia="zh-TW"/>
        </w:rPr>
        <w:t>9</w:t>
      </w:r>
      <w:r w:rsidRPr="00F50E38">
        <w:rPr>
          <w:rFonts w:ascii="微軟正黑體" w:eastAsia="微軟正黑體" w:hAnsi="微軟正黑體" w:hint="eastAsia"/>
          <w:spacing w:val="20"/>
          <w:sz w:val="24"/>
          <w:lang w:eastAsia="zh-TW"/>
        </w:rPr>
        <w:t>％。</w:t>
      </w:r>
    </w:p>
    <w:p w14:paraId="677E8853" w14:textId="77777777" w:rsidR="00F50E38" w:rsidRPr="00F50E38" w:rsidRDefault="00F50E38" w:rsidP="00E71F33"/>
    <w:p w14:paraId="7C40CD90" w14:textId="77777777" w:rsidR="00F50E38" w:rsidRDefault="00F50E38" w:rsidP="00F50E38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 w:rsidRPr="00F50E38">
        <w:rPr>
          <w:rFonts w:ascii="微軟正黑體" w:eastAsia="微軟正黑體" w:hAnsi="微軟正黑體" w:hint="eastAsia"/>
          <w:spacing w:val="20"/>
          <w:sz w:val="24"/>
          <w:lang w:eastAsia="zh-TW"/>
        </w:rPr>
        <w:t>隨著外部需求提高，預計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2015年第一季對外貿易</w:t>
      </w:r>
      <w:r w:rsidRPr="00F50E38">
        <w:rPr>
          <w:rFonts w:ascii="微軟正黑體" w:eastAsia="微軟正黑體" w:hAnsi="微軟正黑體" w:hint="eastAsia"/>
          <w:spacing w:val="20"/>
          <w:sz w:val="24"/>
          <w:lang w:eastAsia="zh-TW"/>
        </w:rPr>
        <w:t>增長回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升</w:t>
      </w:r>
      <w:r w:rsidRPr="00F50E38">
        <w:rPr>
          <w:rFonts w:ascii="微軟正黑體" w:eastAsia="微軟正黑體" w:hAnsi="微軟正黑體" w:hint="eastAsia"/>
          <w:spacing w:val="20"/>
          <w:sz w:val="24"/>
          <w:lang w:eastAsia="zh-TW"/>
        </w:rPr>
        <w:t>。貨物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出口及</w:t>
      </w:r>
      <w:r w:rsidRPr="00F50E38">
        <w:rPr>
          <w:rFonts w:ascii="微軟正黑體" w:eastAsia="微軟正黑體" w:hAnsi="微軟正黑體" w:hint="eastAsia"/>
          <w:spacing w:val="20"/>
          <w:sz w:val="24"/>
          <w:lang w:eastAsia="zh-TW"/>
        </w:rPr>
        <w:t>進口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的總額</w:t>
      </w:r>
      <w:r w:rsidRPr="00F50E38">
        <w:rPr>
          <w:rFonts w:ascii="微軟正黑體" w:eastAsia="微軟正黑體" w:hAnsi="微軟正黑體" w:hint="eastAsia"/>
          <w:spacing w:val="20"/>
          <w:sz w:val="24"/>
          <w:lang w:eastAsia="zh-TW"/>
        </w:rPr>
        <w:t>分別增長1.9％和2.8</w:t>
      </w:r>
      <w:r w:rsidR="00754D18">
        <w:rPr>
          <w:rFonts w:ascii="微軟正黑體" w:eastAsia="微軟正黑體" w:hAnsi="微軟正黑體" w:hint="eastAsia"/>
          <w:spacing w:val="20"/>
          <w:sz w:val="24"/>
          <w:lang w:eastAsia="zh-TW"/>
        </w:rPr>
        <w:t>％</w:t>
      </w:r>
      <w:r w:rsidRPr="00F50E38">
        <w:rPr>
          <w:rFonts w:ascii="微軟正黑體" w:eastAsia="微軟正黑體" w:hAnsi="微軟正黑體" w:hint="eastAsia"/>
          <w:spacing w:val="20"/>
          <w:sz w:val="24"/>
          <w:lang w:eastAsia="zh-TW"/>
        </w:rPr>
        <w:t>。</w:t>
      </w:r>
    </w:p>
    <w:p w14:paraId="5D1AFF5A" w14:textId="77777777" w:rsidR="009A3BF1" w:rsidRDefault="00C20725" w:rsidP="00900FBB">
      <w:pPr>
        <w:jc w:val="center"/>
      </w:pPr>
      <w:r>
        <w:rPr>
          <w:noProof/>
        </w:rPr>
        <w:drawing>
          <wp:inline distT="0" distB="0" distL="0" distR="0" wp14:anchorId="6FF932B3" wp14:editId="461AF06B">
            <wp:extent cx="5715000" cy="2898140"/>
            <wp:effectExtent l="0" t="0" r="0" b="0"/>
            <wp:docPr id="47" name="Chart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6FC30B37" w14:textId="77777777" w:rsidR="00B55534" w:rsidRPr="00754D18" w:rsidRDefault="00C20725" w:rsidP="006A47F1">
      <w:pPr>
        <w:pStyle w:val="2"/>
        <w:rPr>
          <w:rFonts w:ascii="微軟正黑體" w:eastAsia="微軟正黑體" w:hAnsi="微軟正黑體"/>
          <w:szCs w:val="32"/>
        </w:rPr>
      </w:pPr>
      <w:r>
        <w:rPr>
          <w:noProof/>
        </w:rPr>
        <w:drawing>
          <wp:inline distT="0" distB="0" distL="0" distR="0" wp14:anchorId="12860839" wp14:editId="3AF633E5">
            <wp:extent cx="5715000" cy="2889250"/>
            <wp:effectExtent l="0" t="0" r="0" b="0"/>
            <wp:docPr id="48" name="Chart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9A3BF1">
        <w:br w:type="page"/>
      </w:r>
      <w:bookmarkStart w:id="16" w:name="_Toc407998089"/>
      <w:bookmarkStart w:id="17" w:name="_Toc408000683"/>
      <w:r w:rsidR="00B55534" w:rsidRPr="00754D18">
        <w:rPr>
          <w:rFonts w:ascii="微軟正黑體" w:eastAsia="微軟正黑體" w:hAnsi="微軟正黑體"/>
          <w:szCs w:val="32"/>
        </w:rPr>
        <w:lastRenderedPageBreak/>
        <w:t>3.2</w:t>
      </w:r>
      <w:r w:rsidR="00CB6D0D" w:rsidRPr="00754D18">
        <w:rPr>
          <w:rFonts w:ascii="微軟正黑體" w:eastAsia="微軟正黑體" w:hAnsi="微軟正黑體"/>
          <w:szCs w:val="32"/>
        </w:rPr>
        <w:t xml:space="preserve">  </w:t>
      </w:r>
      <w:r w:rsidR="007E0F3C" w:rsidRPr="00754D18">
        <w:rPr>
          <w:rFonts w:ascii="微軟正黑體" w:eastAsia="微軟正黑體" w:hAnsi="微軟正黑體" w:hint="eastAsia"/>
          <w:szCs w:val="32"/>
        </w:rPr>
        <w:t>服務</w:t>
      </w:r>
      <w:bookmarkEnd w:id="16"/>
      <w:bookmarkEnd w:id="17"/>
    </w:p>
    <w:p w14:paraId="28922FEC" w14:textId="3F15D4E6" w:rsidR="00D40442" w:rsidRPr="00D40442" w:rsidRDefault="00D40442" w:rsidP="00D40442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 w:rsidRPr="00CC2246">
        <w:rPr>
          <w:rFonts w:ascii="微軟正黑體" w:eastAsia="微軟正黑體" w:hAnsi="微軟正黑體" w:hint="eastAsia"/>
          <w:spacing w:val="20"/>
          <w:sz w:val="24"/>
          <w:lang w:eastAsia="zh-TW"/>
        </w:rPr>
        <w:t>服務出口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從2014</w:t>
      </w:r>
      <w:r w:rsidRPr="00CC2246">
        <w:rPr>
          <w:rFonts w:ascii="微軟正黑體" w:eastAsia="微軟正黑體" w:hAnsi="微軟正黑體" w:hint="eastAsia"/>
          <w:spacing w:val="20"/>
          <w:sz w:val="24"/>
          <w:lang w:eastAsia="zh-TW"/>
        </w:rPr>
        <w:t>年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第二季的</w:t>
      </w:r>
      <w:r w:rsidR="002A6C89">
        <w:rPr>
          <w:rFonts w:ascii="微軟正黑體" w:eastAsia="微軟正黑體" w:hAnsi="微軟正黑體" w:hint="eastAsia"/>
          <w:spacing w:val="20"/>
          <w:sz w:val="24"/>
          <w:lang w:eastAsia="zh-TW"/>
        </w:rPr>
        <w:t>下跌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2.0%，轉勢至</w:t>
      </w:r>
      <w:r w:rsidRPr="00CC2246">
        <w:rPr>
          <w:rFonts w:ascii="微軟正黑體" w:eastAsia="微軟正黑體" w:hAnsi="微軟正黑體" w:hint="eastAsia"/>
          <w:spacing w:val="20"/>
          <w:sz w:val="24"/>
          <w:lang w:eastAsia="zh-TW"/>
        </w:rPr>
        <w:t>第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三</w:t>
      </w:r>
      <w:r w:rsidRPr="00CC2246">
        <w:rPr>
          <w:rFonts w:ascii="微軟正黑體" w:eastAsia="微軟正黑體" w:hAnsi="微軟正黑體" w:hint="eastAsia"/>
          <w:spacing w:val="20"/>
          <w:sz w:val="24"/>
          <w:lang w:eastAsia="zh-TW"/>
        </w:rPr>
        <w:t>季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上升2.0</w:t>
      </w:r>
      <w:r w:rsidRPr="00CC2246">
        <w:rPr>
          <w:rFonts w:ascii="微軟正黑體" w:eastAsia="微軟正黑體" w:hAnsi="微軟正黑體" w:hint="eastAsia"/>
          <w:spacing w:val="20"/>
          <w:sz w:val="24"/>
          <w:lang w:eastAsia="zh-TW"/>
        </w:rPr>
        <w:t>%。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預計2014年第四季</w:t>
      </w:r>
      <w:r w:rsidRPr="00D40442">
        <w:rPr>
          <w:rFonts w:ascii="微軟正黑體" w:eastAsia="微軟正黑體" w:hAnsi="微軟正黑體" w:hint="eastAsia"/>
          <w:spacing w:val="20"/>
          <w:sz w:val="24"/>
          <w:lang w:eastAsia="zh-TW"/>
        </w:rPr>
        <w:t>服務出口為2.8％。</w:t>
      </w:r>
      <w:r w:rsidR="00CA7CEB" w:rsidRPr="00D40442">
        <w:rPr>
          <w:rFonts w:ascii="微軟正黑體" w:eastAsia="微軟正黑體" w:hAnsi="微軟正黑體" w:hint="eastAsia"/>
          <w:spacing w:val="20"/>
          <w:sz w:val="24"/>
          <w:lang w:eastAsia="zh-TW"/>
        </w:rPr>
        <w:t>預計</w:t>
      </w:r>
      <w:r w:rsidRPr="00D40442">
        <w:rPr>
          <w:rFonts w:ascii="微軟正黑體" w:eastAsia="微軟正黑體" w:hAnsi="微軟正黑體" w:hint="eastAsia"/>
          <w:spacing w:val="20"/>
          <w:sz w:val="24"/>
          <w:lang w:eastAsia="zh-TW"/>
        </w:rPr>
        <w:t>2014年全年</w:t>
      </w:r>
      <w:r w:rsidR="00CA7CEB">
        <w:rPr>
          <w:rFonts w:ascii="微軟正黑體" w:eastAsia="微軟正黑體" w:hAnsi="微軟正黑體" w:hint="eastAsia"/>
          <w:spacing w:val="20"/>
          <w:sz w:val="24"/>
          <w:lang w:eastAsia="zh-TW"/>
        </w:rPr>
        <w:t>增長為</w:t>
      </w:r>
      <w:r w:rsidRPr="00D40442">
        <w:rPr>
          <w:rFonts w:ascii="微軟正黑體" w:eastAsia="微軟正黑體" w:hAnsi="微軟正黑體" w:hint="eastAsia"/>
          <w:spacing w:val="20"/>
          <w:sz w:val="24"/>
          <w:lang w:eastAsia="zh-TW"/>
        </w:rPr>
        <w:t>1.5％。</w:t>
      </w:r>
    </w:p>
    <w:p w14:paraId="0B453CCA" w14:textId="77777777" w:rsidR="00D40442" w:rsidRPr="00D40442" w:rsidRDefault="00D40442" w:rsidP="00E71F33"/>
    <w:p w14:paraId="7A39D2DE" w14:textId="77777777" w:rsidR="00D40442" w:rsidRPr="00D40442" w:rsidRDefault="00D40442" w:rsidP="00D40442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 w:rsidRPr="00D40442">
        <w:rPr>
          <w:rFonts w:ascii="微軟正黑體" w:eastAsia="微軟正黑體" w:hAnsi="微軟正黑體" w:hint="eastAsia"/>
          <w:spacing w:val="20"/>
          <w:sz w:val="24"/>
          <w:lang w:eastAsia="zh-TW"/>
        </w:rPr>
        <w:t>入境旅遊有望保持活力，訪港旅客人數在2014年11月增長1</w:t>
      </w:r>
      <w:r w:rsidR="005D1013">
        <w:rPr>
          <w:rFonts w:ascii="微軟正黑體" w:eastAsia="微軟正黑體" w:hAnsi="微軟正黑體" w:hint="eastAsia"/>
          <w:spacing w:val="20"/>
          <w:sz w:val="24"/>
          <w:lang w:eastAsia="zh-TW"/>
        </w:rPr>
        <w:t>5.7</w:t>
      </w:r>
      <w:r w:rsidRPr="00D40442">
        <w:rPr>
          <w:rFonts w:ascii="微軟正黑體" w:eastAsia="微軟正黑體" w:hAnsi="微軟正黑體" w:hint="eastAsia"/>
          <w:spacing w:val="20"/>
          <w:sz w:val="24"/>
          <w:lang w:eastAsia="zh-TW"/>
        </w:rPr>
        <w:t>％，其中隔夜訪港旅客上升</w:t>
      </w:r>
      <w:r w:rsidR="005D1013">
        <w:rPr>
          <w:rFonts w:ascii="微軟正黑體" w:eastAsia="微軟正黑體" w:hAnsi="微軟正黑體" w:hint="eastAsia"/>
          <w:spacing w:val="20"/>
          <w:sz w:val="24"/>
          <w:lang w:eastAsia="zh-TW"/>
        </w:rPr>
        <w:t>5.5</w:t>
      </w:r>
      <w:r w:rsidRPr="00D40442">
        <w:rPr>
          <w:rFonts w:ascii="微軟正黑體" w:eastAsia="微軟正黑體" w:hAnsi="微軟正黑體" w:hint="eastAsia"/>
          <w:spacing w:val="20"/>
          <w:sz w:val="24"/>
          <w:lang w:eastAsia="zh-TW"/>
        </w:rPr>
        <w:t>％。估計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2015年第一季</w:t>
      </w:r>
      <w:r w:rsidRPr="00D40442">
        <w:rPr>
          <w:rFonts w:ascii="微軟正黑體" w:eastAsia="微軟正黑體" w:hAnsi="微軟正黑體" w:hint="eastAsia"/>
          <w:spacing w:val="20"/>
          <w:sz w:val="24"/>
          <w:lang w:eastAsia="zh-TW"/>
        </w:rPr>
        <w:t>服務出口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增長</w:t>
      </w:r>
      <w:r w:rsidRPr="00D40442">
        <w:rPr>
          <w:rFonts w:ascii="微軟正黑體" w:eastAsia="微軟正黑體" w:hAnsi="微軟正黑體" w:hint="eastAsia"/>
          <w:spacing w:val="20"/>
          <w:sz w:val="24"/>
          <w:lang w:eastAsia="zh-TW"/>
        </w:rPr>
        <w:t>3.7％。</w:t>
      </w:r>
    </w:p>
    <w:p w14:paraId="175B856A" w14:textId="77777777" w:rsidR="00D40442" w:rsidRPr="00D40442" w:rsidRDefault="00D40442" w:rsidP="00E71F33"/>
    <w:p w14:paraId="2D19E33D" w14:textId="77777777" w:rsidR="00D40442" w:rsidRDefault="00D40442" w:rsidP="00D40442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 w:rsidRPr="00D40442">
        <w:rPr>
          <w:rFonts w:ascii="微軟正黑體" w:eastAsia="微軟正黑體" w:hAnsi="微軟正黑體" w:hint="eastAsia"/>
          <w:spacing w:val="20"/>
          <w:sz w:val="24"/>
          <w:lang w:eastAsia="zh-TW"/>
        </w:rPr>
        <w:t>另一方面，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2014年第三季</w:t>
      </w:r>
      <w:r w:rsidRPr="00D40442">
        <w:rPr>
          <w:rFonts w:ascii="微軟正黑體" w:eastAsia="微軟正黑體" w:hAnsi="微軟正黑體" w:hint="eastAsia"/>
          <w:spacing w:val="20"/>
          <w:sz w:val="24"/>
          <w:lang w:eastAsia="zh-TW"/>
        </w:rPr>
        <w:t>服務進口增長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為</w:t>
      </w:r>
      <w:r w:rsidRPr="00D40442">
        <w:rPr>
          <w:rFonts w:ascii="微軟正黑體" w:eastAsia="微軟正黑體" w:hAnsi="微軟正黑體" w:hint="eastAsia"/>
          <w:spacing w:val="20"/>
          <w:sz w:val="24"/>
          <w:lang w:eastAsia="zh-TW"/>
        </w:rPr>
        <w:t>1.8％。預計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2014年第四季略升0.8%，2015年第一季則以2.8%較快速度增長。</w:t>
      </w:r>
    </w:p>
    <w:p w14:paraId="552F69AF" w14:textId="77777777" w:rsidR="00CA7CEB" w:rsidRDefault="00C20725" w:rsidP="009A3BF1">
      <w:pPr>
        <w:pStyle w:val="1"/>
        <w:rPr>
          <w:rFonts w:eastAsia="新細明體"/>
          <w:noProof/>
        </w:rPr>
      </w:pPr>
      <w:r>
        <w:rPr>
          <w:noProof/>
        </w:rPr>
        <w:drawing>
          <wp:inline distT="0" distB="0" distL="0" distR="0" wp14:anchorId="1231B315" wp14:editId="17AFECC5">
            <wp:extent cx="5715000" cy="2898140"/>
            <wp:effectExtent l="0" t="0" r="0" b="0"/>
            <wp:docPr id="49" name="Chart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31B07A0" wp14:editId="4F005898">
            <wp:extent cx="5715000" cy="2898140"/>
            <wp:effectExtent l="0" t="0" r="0" b="0"/>
            <wp:docPr id="50" name="Chart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16F64634" w14:textId="77777777" w:rsidR="001759DC" w:rsidRPr="007E0F3C" w:rsidRDefault="009A3BF1" w:rsidP="009A3BF1">
      <w:pPr>
        <w:pStyle w:val="1"/>
        <w:rPr>
          <w:rFonts w:ascii="微軟正黑體" w:eastAsia="微軟正黑體" w:hAnsi="微軟正黑體"/>
        </w:rPr>
      </w:pPr>
      <w:r>
        <w:br w:type="page"/>
      </w:r>
      <w:bookmarkStart w:id="18" w:name="_Toc407998090"/>
      <w:bookmarkStart w:id="19" w:name="_Toc408000684"/>
      <w:r w:rsidR="00B55534" w:rsidRPr="007E0F3C">
        <w:rPr>
          <w:rFonts w:ascii="微軟正黑體" w:eastAsia="微軟正黑體" w:hAnsi="微軟正黑體"/>
        </w:rPr>
        <w:lastRenderedPageBreak/>
        <w:t>4</w:t>
      </w:r>
      <w:r w:rsidR="00CB6D0D" w:rsidRPr="007E0F3C">
        <w:rPr>
          <w:rFonts w:ascii="微軟正黑體" w:eastAsia="微軟正黑體" w:hAnsi="微軟正黑體"/>
        </w:rPr>
        <w:t xml:space="preserve">  </w:t>
      </w:r>
      <w:r w:rsidR="00D56897" w:rsidRPr="007E0F3C">
        <w:rPr>
          <w:rFonts w:ascii="微軟正黑體" w:eastAsia="微軟正黑體" w:hAnsi="微軟正黑體" w:hint="eastAsia"/>
        </w:rPr>
        <w:t>物價</w:t>
      </w:r>
      <w:r w:rsidR="001759DC" w:rsidRPr="007E0F3C">
        <w:rPr>
          <w:rFonts w:ascii="微軟正黑體" w:eastAsia="微軟正黑體" w:hAnsi="微軟正黑體"/>
        </w:rPr>
        <w:t xml:space="preserve"> </w:t>
      </w:r>
      <w:bookmarkEnd w:id="18"/>
      <w:bookmarkEnd w:id="19"/>
    </w:p>
    <w:p w14:paraId="00EFF463" w14:textId="77777777" w:rsidR="00CC1D1C" w:rsidRDefault="00D56897" w:rsidP="00D56897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 w:rsidRPr="00D56897">
        <w:rPr>
          <w:rFonts w:ascii="微軟正黑體" w:eastAsia="微軟正黑體" w:hAnsi="微軟正黑體" w:hint="eastAsia"/>
          <w:spacing w:val="20"/>
          <w:sz w:val="24"/>
          <w:lang w:eastAsia="zh-TW"/>
        </w:rPr>
        <w:t>以綜合消費物價指數量度，2014年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11</w:t>
      </w:r>
      <w:r w:rsidRPr="00D56897">
        <w:rPr>
          <w:rFonts w:ascii="微軟正黑體" w:eastAsia="微軟正黑體" w:hAnsi="微軟正黑體" w:hint="eastAsia"/>
          <w:spacing w:val="20"/>
          <w:sz w:val="24"/>
          <w:lang w:eastAsia="zh-TW"/>
        </w:rPr>
        <w:t>月一般價格水平上升了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5.1</w:t>
      </w:r>
      <w:r w:rsidRPr="00D56897">
        <w:rPr>
          <w:rFonts w:ascii="微軟正黑體" w:eastAsia="微軟正黑體" w:hAnsi="微軟正黑體" w:hint="eastAsia"/>
          <w:spacing w:val="20"/>
          <w:sz w:val="24"/>
          <w:lang w:eastAsia="zh-TW"/>
        </w:rPr>
        <w:t>%， 2014年第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四</w:t>
      </w:r>
      <w:r w:rsidRPr="00D56897">
        <w:rPr>
          <w:rFonts w:ascii="微軟正黑體" w:eastAsia="微軟正黑體" w:hAnsi="微軟正黑體" w:hint="eastAsia"/>
          <w:spacing w:val="20"/>
          <w:sz w:val="24"/>
          <w:lang w:eastAsia="zh-TW"/>
        </w:rPr>
        <w:t>季整體消費通脹率估計為5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.0</w:t>
      </w:r>
      <w:r w:rsidRPr="00D56897">
        <w:rPr>
          <w:rFonts w:ascii="微軟正黑體" w:eastAsia="微軟正黑體" w:hAnsi="微軟正黑體" w:hint="eastAsia"/>
          <w:spacing w:val="20"/>
          <w:sz w:val="24"/>
          <w:lang w:eastAsia="zh-TW"/>
        </w:rPr>
        <w:t>%。扣除去年</w:t>
      </w:r>
      <w:r w:rsidR="00CC1D1C" w:rsidRPr="00CC1D1C">
        <w:rPr>
          <w:rFonts w:ascii="微軟正黑體" w:eastAsia="微軟正黑體" w:hAnsi="微軟正黑體" w:hint="eastAsia"/>
          <w:spacing w:val="20"/>
          <w:sz w:val="24"/>
          <w:lang w:eastAsia="zh-TW"/>
        </w:rPr>
        <w:t>差餉寬減措施及電費補貼的影響後</w:t>
      </w:r>
      <w:r w:rsidRPr="00D56897">
        <w:rPr>
          <w:rFonts w:ascii="微軟正黑體" w:eastAsia="微軟正黑體" w:hAnsi="微軟正黑體" w:hint="eastAsia"/>
          <w:spacing w:val="20"/>
          <w:sz w:val="24"/>
          <w:lang w:eastAsia="zh-TW"/>
        </w:rPr>
        <w:t>，通脹率在第</w:t>
      </w:r>
      <w:r w:rsidR="00CC1D1C">
        <w:rPr>
          <w:rFonts w:ascii="微軟正黑體" w:eastAsia="微軟正黑體" w:hAnsi="微軟正黑體" w:hint="eastAsia"/>
          <w:spacing w:val="20"/>
          <w:sz w:val="24"/>
          <w:lang w:eastAsia="zh-TW"/>
        </w:rPr>
        <w:t>四</w:t>
      </w:r>
      <w:r w:rsidRPr="00D56897">
        <w:rPr>
          <w:rFonts w:ascii="微軟正黑體" w:eastAsia="微軟正黑體" w:hAnsi="微軟正黑體" w:hint="eastAsia"/>
          <w:spacing w:val="20"/>
          <w:sz w:val="24"/>
          <w:lang w:eastAsia="zh-TW"/>
        </w:rPr>
        <w:t>季只有3.</w:t>
      </w:r>
      <w:r w:rsidR="00CC1D1C">
        <w:rPr>
          <w:rFonts w:ascii="微軟正黑體" w:eastAsia="微軟正黑體" w:hAnsi="微軟正黑體" w:hint="eastAsia"/>
          <w:spacing w:val="20"/>
          <w:sz w:val="24"/>
          <w:lang w:eastAsia="zh-TW"/>
        </w:rPr>
        <w:t>2</w:t>
      </w:r>
      <w:r w:rsidRPr="00D56897">
        <w:rPr>
          <w:rFonts w:ascii="微軟正黑體" w:eastAsia="微軟正黑體" w:hAnsi="微軟正黑體" w:hint="eastAsia"/>
          <w:spacing w:val="20"/>
          <w:sz w:val="24"/>
          <w:lang w:eastAsia="zh-TW"/>
        </w:rPr>
        <w:t>%。</w:t>
      </w:r>
    </w:p>
    <w:p w14:paraId="65E5DAA2" w14:textId="77777777" w:rsidR="00D56897" w:rsidRDefault="00D56897" w:rsidP="00E71F33">
      <w:pPr>
        <w:pStyle w:val="chart2"/>
      </w:pPr>
    </w:p>
    <w:p w14:paraId="3E015A2F" w14:textId="77777777" w:rsidR="00D56897" w:rsidRPr="00052971" w:rsidRDefault="00CC1D1C" w:rsidP="00D56897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消費物價基礎的通脹率在2015年第一季為4.4%，扣除政府的措施後，預計基本通脹率為2.6%。</w:t>
      </w:r>
    </w:p>
    <w:p w14:paraId="54ED950A" w14:textId="77777777" w:rsidR="006C6F9A" w:rsidRDefault="006C6F9A" w:rsidP="00F8166B"/>
    <w:p w14:paraId="397B83EA" w14:textId="7E4F8FA3" w:rsidR="00CC1D1C" w:rsidRPr="00052971" w:rsidRDefault="00CC1D1C" w:rsidP="00CC1D1C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 w:rsidRPr="00CC1D1C">
        <w:rPr>
          <w:rFonts w:ascii="微軟正黑體" w:eastAsia="微軟正黑體" w:hAnsi="微軟正黑體" w:hint="eastAsia"/>
          <w:spacing w:val="20"/>
          <w:sz w:val="24"/>
          <w:lang w:eastAsia="zh-TW"/>
        </w:rPr>
        <w:t>預計整體消費通脹率在2014年全年為4.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4</w:t>
      </w:r>
      <w:r w:rsidRPr="00CC1D1C">
        <w:rPr>
          <w:rFonts w:ascii="微軟正黑體" w:eastAsia="微軟正黑體" w:hAnsi="微軟正黑體" w:hint="eastAsia"/>
          <w:spacing w:val="20"/>
          <w:sz w:val="24"/>
          <w:lang w:eastAsia="zh-TW"/>
        </w:rPr>
        <w:t>%，較2013年</w:t>
      </w:r>
      <w:r w:rsidR="00B64A5D">
        <w:rPr>
          <w:rFonts w:ascii="微軟正黑體" w:eastAsia="微軟正黑體" w:hAnsi="微軟正黑體" w:hint="eastAsia"/>
          <w:spacing w:val="20"/>
          <w:sz w:val="24"/>
          <w:lang w:eastAsia="zh-TW"/>
        </w:rPr>
        <w:t>的</w:t>
      </w:r>
      <w:r w:rsidRPr="00CC1D1C">
        <w:rPr>
          <w:rFonts w:ascii="微軟正黑體" w:eastAsia="微軟正黑體" w:hAnsi="微軟正黑體" w:hint="eastAsia"/>
          <w:spacing w:val="20"/>
          <w:sz w:val="24"/>
          <w:lang w:eastAsia="zh-TW"/>
        </w:rPr>
        <w:t>4.3%略</w:t>
      </w:r>
      <w:r w:rsidR="00B64A5D">
        <w:rPr>
          <w:rFonts w:ascii="微軟正黑體" w:eastAsia="微軟正黑體" w:hAnsi="微軟正黑體" w:hint="eastAsia"/>
          <w:spacing w:val="20"/>
          <w:sz w:val="24"/>
          <w:lang w:eastAsia="zh-TW"/>
        </w:rPr>
        <w:t>高</w:t>
      </w:r>
      <w:r w:rsidRPr="00CC1D1C">
        <w:rPr>
          <w:rFonts w:ascii="微軟正黑體" w:eastAsia="微軟正黑體" w:hAnsi="微軟正黑體" w:hint="eastAsia"/>
          <w:spacing w:val="20"/>
          <w:sz w:val="24"/>
          <w:lang w:eastAsia="zh-TW"/>
        </w:rPr>
        <w:t>。</w:t>
      </w:r>
    </w:p>
    <w:p w14:paraId="52807555" w14:textId="77777777" w:rsidR="00A8358A" w:rsidRDefault="00C20725" w:rsidP="00DD3E89">
      <w:pPr>
        <w:jc w:val="center"/>
      </w:pPr>
      <w:r>
        <w:rPr>
          <w:noProof/>
        </w:rPr>
        <w:drawing>
          <wp:inline distT="0" distB="0" distL="0" distR="0" wp14:anchorId="5B53A665" wp14:editId="2CA1E70D">
            <wp:extent cx="5715000" cy="399796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2522291A" w14:textId="2F1BC93E" w:rsidR="00D000BE" w:rsidRDefault="00D000BE" w:rsidP="00D000BE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通脹預期對實</w:t>
      </w:r>
      <w:r w:rsidR="00285738">
        <w:rPr>
          <w:rFonts w:ascii="微軟正黑體" w:eastAsia="微軟正黑體" w:hAnsi="微軟正黑體" w:hint="eastAsia"/>
          <w:spacing w:val="20"/>
          <w:sz w:val="24"/>
          <w:lang w:eastAsia="zh-TW"/>
        </w:rPr>
        <w:t>質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工資有重要意義</w:t>
      </w:r>
      <w:r w:rsidRPr="00D000BE">
        <w:rPr>
          <w:rFonts w:ascii="微軟正黑體" w:eastAsia="微軟正黑體" w:hAnsi="微軟正黑體" w:hint="eastAsia"/>
          <w:spacing w:val="20"/>
          <w:sz w:val="24"/>
          <w:lang w:eastAsia="zh-TW"/>
        </w:rPr>
        <w:t>。</w:t>
      </w:r>
      <w:r w:rsidR="006605E3">
        <w:rPr>
          <w:rFonts w:ascii="微軟正黑體" w:eastAsia="微軟正黑體" w:hAnsi="微軟正黑體" w:hint="eastAsia"/>
          <w:spacing w:val="20"/>
          <w:sz w:val="24"/>
          <w:lang w:eastAsia="zh-TW"/>
        </w:rPr>
        <w:t>在</w:t>
      </w:r>
      <w:r w:rsidR="006605E3" w:rsidRPr="00D000BE">
        <w:rPr>
          <w:rFonts w:ascii="微軟正黑體" w:eastAsia="微軟正黑體" w:hAnsi="微軟正黑體" w:hint="eastAsia"/>
          <w:spacing w:val="20"/>
          <w:sz w:val="24"/>
          <w:lang w:eastAsia="zh-TW"/>
        </w:rPr>
        <w:t>勞動力市場繼續表現緊張的</w:t>
      </w:r>
      <w:r w:rsidR="006605E3">
        <w:rPr>
          <w:rFonts w:ascii="微軟正黑體" w:eastAsia="微軟正黑體" w:hAnsi="微軟正黑體" w:hint="eastAsia"/>
          <w:spacing w:val="20"/>
          <w:sz w:val="24"/>
          <w:lang w:eastAsia="zh-TW"/>
        </w:rPr>
        <w:t>情況下</w:t>
      </w:r>
      <w:r w:rsidR="006605E3" w:rsidRPr="00D000BE">
        <w:rPr>
          <w:rFonts w:ascii="微軟正黑體" w:eastAsia="微軟正黑體" w:hAnsi="微軟正黑體" w:hint="eastAsia"/>
          <w:spacing w:val="20"/>
          <w:sz w:val="24"/>
          <w:lang w:eastAsia="zh-TW"/>
        </w:rPr>
        <w:t>，</w:t>
      </w:r>
      <w:r w:rsidRPr="00D000BE">
        <w:rPr>
          <w:rFonts w:ascii="微軟正黑體" w:eastAsia="微軟正黑體" w:hAnsi="微軟正黑體" w:hint="eastAsia"/>
          <w:spacing w:val="20"/>
          <w:sz w:val="24"/>
          <w:lang w:eastAsia="zh-TW"/>
        </w:rPr>
        <w:t>名義工資的勞動力增長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在</w:t>
      </w:r>
      <w:r w:rsidRPr="00D000BE">
        <w:rPr>
          <w:rFonts w:ascii="微軟正黑體" w:eastAsia="微軟正黑體" w:hAnsi="微軟正黑體" w:hint="eastAsia"/>
          <w:spacing w:val="20"/>
          <w:sz w:val="24"/>
          <w:lang w:eastAsia="zh-TW"/>
        </w:rPr>
        <w:t>2014年9月錄得4.0％</w:t>
      </w:r>
      <w:r w:rsidR="006605E3" w:rsidRPr="00D000BE">
        <w:rPr>
          <w:rFonts w:ascii="微軟正黑體" w:eastAsia="微軟正黑體" w:hAnsi="微軟正黑體" w:hint="eastAsia"/>
          <w:spacing w:val="20"/>
          <w:sz w:val="24"/>
          <w:lang w:eastAsia="zh-TW"/>
        </w:rPr>
        <w:t>。</w:t>
      </w:r>
      <w:r w:rsidR="00285738">
        <w:rPr>
          <w:rFonts w:ascii="微軟正黑體" w:eastAsia="微軟正黑體" w:hAnsi="微軟正黑體" w:hint="eastAsia"/>
          <w:spacing w:val="20"/>
          <w:sz w:val="24"/>
          <w:lang w:eastAsia="zh-TW"/>
        </w:rPr>
        <w:t>隨著</w:t>
      </w:r>
      <w:r w:rsidR="00285738" w:rsidRPr="00D000BE">
        <w:rPr>
          <w:rFonts w:ascii="微軟正黑體" w:eastAsia="微軟正黑體" w:hAnsi="微軟正黑體" w:hint="eastAsia"/>
          <w:spacing w:val="20"/>
          <w:sz w:val="24"/>
          <w:lang w:eastAsia="zh-TW"/>
        </w:rPr>
        <w:t>各種政府</w:t>
      </w:r>
      <w:r w:rsidR="0081566C">
        <w:rPr>
          <w:rFonts w:ascii="微軟正黑體" w:eastAsia="微軟正黑體" w:hAnsi="微軟正黑體" w:hint="eastAsia"/>
          <w:spacing w:val="20"/>
          <w:sz w:val="24"/>
          <w:lang w:eastAsia="zh-TW"/>
        </w:rPr>
        <w:t>寬減</w:t>
      </w:r>
      <w:r w:rsidR="00285738" w:rsidRPr="00D000BE">
        <w:rPr>
          <w:rFonts w:ascii="微軟正黑體" w:eastAsia="微軟正黑體" w:hAnsi="微軟正黑體" w:hint="eastAsia"/>
          <w:spacing w:val="20"/>
          <w:sz w:val="24"/>
          <w:lang w:eastAsia="zh-TW"/>
        </w:rPr>
        <w:t>措施的結束</w:t>
      </w:r>
      <w:r w:rsidR="00285738">
        <w:rPr>
          <w:rFonts w:ascii="微軟正黑體" w:eastAsia="微軟正黑體" w:hAnsi="微軟正黑體" w:hint="eastAsia"/>
          <w:spacing w:val="20"/>
          <w:sz w:val="24"/>
          <w:lang w:eastAsia="zh-TW"/>
        </w:rPr>
        <w:t>，</w:t>
      </w:r>
      <w:r w:rsidR="009163E3">
        <w:rPr>
          <w:rFonts w:ascii="微軟正黑體" w:eastAsia="微軟正黑體" w:hAnsi="微軟正黑體" w:hint="eastAsia"/>
          <w:spacing w:val="20"/>
          <w:sz w:val="24"/>
          <w:lang w:eastAsia="zh-TW"/>
        </w:rPr>
        <w:t>偏</w:t>
      </w:r>
      <w:r w:rsidR="00285738">
        <w:rPr>
          <w:rFonts w:ascii="微軟正黑體" w:eastAsia="微軟正黑體" w:hAnsi="微軟正黑體" w:hint="eastAsia"/>
          <w:spacing w:val="20"/>
          <w:sz w:val="24"/>
          <w:lang w:eastAsia="zh-TW"/>
        </w:rPr>
        <w:t>高的通脹</w:t>
      </w:r>
      <w:r w:rsidR="009163E3">
        <w:rPr>
          <w:rFonts w:ascii="微軟正黑體" w:eastAsia="微軟正黑體" w:hAnsi="微軟正黑體" w:hint="eastAsia"/>
          <w:spacing w:val="20"/>
          <w:sz w:val="24"/>
          <w:lang w:eastAsia="zh-TW"/>
        </w:rPr>
        <w:t>率</w:t>
      </w:r>
      <w:r w:rsidR="00285738">
        <w:rPr>
          <w:rFonts w:ascii="微軟正黑體" w:eastAsia="微軟正黑體" w:hAnsi="微軟正黑體" w:hint="eastAsia"/>
          <w:spacing w:val="20"/>
          <w:sz w:val="24"/>
          <w:lang w:eastAsia="zh-TW"/>
        </w:rPr>
        <w:t>會導致實質工資</w:t>
      </w:r>
      <w:r w:rsidR="009163E3">
        <w:rPr>
          <w:rFonts w:ascii="微軟正黑體" w:eastAsia="微軟正黑體" w:hAnsi="微軟正黑體" w:hint="eastAsia"/>
          <w:spacing w:val="20"/>
          <w:sz w:val="24"/>
          <w:lang w:eastAsia="zh-TW"/>
        </w:rPr>
        <w:t>出現</w:t>
      </w:r>
      <w:r w:rsidR="00285738">
        <w:rPr>
          <w:rFonts w:ascii="微軟正黑體" w:eastAsia="微軟正黑體" w:hAnsi="微軟正黑體" w:hint="eastAsia"/>
          <w:spacing w:val="20"/>
          <w:sz w:val="24"/>
          <w:lang w:eastAsia="zh-TW"/>
        </w:rPr>
        <w:t>負增長。</w:t>
      </w:r>
      <w:r w:rsidRPr="00D000BE">
        <w:rPr>
          <w:rFonts w:ascii="微軟正黑體" w:eastAsia="微軟正黑體" w:hAnsi="微軟正黑體" w:hint="eastAsia"/>
          <w:spacing w:val="20"/>
          <w:sz w:val="24"/>
          <w:lang w:eastAsia="zh-TW"/>
        </w:rPr>
        <w:t>事實上，在</w:t>
      </w:r>
      <w:r w:rsidR="009163E3">
        <w:rPr>
          <w:rFonts w:ascii="微軟正黑體" w:eastAsia="微軟正黑體" w:hAnsi="微軟正黑體" w:hint="eastAsia"/>
          <w:spacing w:val="20"/>
          <w:sz w:val="24"/>
          <w:lang w:eastAsia="zh-TW"/>
        </w:rPr>
        <w:t>2014年第三季當名義</w:t>
      </w:r>
      <w:r w:rsidRPr="00D000BE">
        <w:rPr>
          <w:rFonts w:ascii="微軟正黑體" w:eastAsia="微軟正黑體" w:hAnsi="微軟正黑體" w:hint="eastAsia"/>
          <w:spacing w:val="20"/>
          <w:sz w:val="24"/>
          <w:lang w:eastAsia="zh-TW"/>
        </w:rPr>
        <w:t>工資增長</w:t>
      </w:r>
      <w:r w:rsidR="009163E3">
        <w:rPr>
          <w:rFonts w:ascii="微軟正黑體" w:eastAsia="微軟正黑體" w:hAnsi="微軟正黑體" w:hint="eastAsia"/>
          <w:spacing w:val="20"/>
          <w:sz w:val="24"/>
          <w:lang w:eastAsia="zh-TW"/>
        </w:rPr>
        <w:t>為4.0%</w:t>
      </w:r>
      <w:r w:rsidRPr="00D000BE">
        <w:rPr>
          <w:rFonts w:ascii="微軟正黑體" w:eastAsia="微軟正黑體" w:hAnsi="微軟正黑體" w:hint="eastAsia"/>
          <w:spacing w:val="20"/>
          <w:sz w:val="24"/>
          <w:lang w:eastAsia="zh-TW"/>
        </w:rPr>
        <w:t>，</w:t>
      </w:r>
      <w:r w:rsidR="009163E3">
        <w:rPr>
          <w:rFonts w:ascii="微軟正黑體" w:eastAsia="微軟正黑體" w:hAnsi="微軟正黑體" w:hint="eastAsia"/>
          <w:spacing w:val="20"/>
          <w:sz w:val="24"/>
          <w:lang w:eastAsia="zh-TW"/>
        </w:rPr>
        <w:t>與此</w:t>
      </w:r>
      <w:r w:rsidRPr="00D000BE">
        <w:rPr>
          <w:rFonts w:ascii="微軟正黑體" w:eastAsia="微軟正黑體" w:hAnsi="微軟正黑體" w:hint="eastAsia"/>
          <w:spacing w:val="20"/>
          <w:sz w:val="24"/>
          <w:lang w:eastAsia="zh-TW"/>
        </w:rPr>
        <w:t>同期的綜合消費物價指數通脹率</w:t>
      </w:r>
      <w:r w:rsidR="009163E3">
        <w:rPr>
          <w:rFonts w:ascii="微軟正黑體" w:eastAsia="微軟正黑體" w:hAnsi="微軟正黑體" w:hint="eastAsia"/>
          <w:spacing w:val="20"/>
          <w:sz w:val="24"/>
          <w:lang w:eastAsia="zh-TW"/>
        </w:rPr>
        <w:t>為</w:t>
      </w:r>
      <w:r w:rsidRPr="00D000BE">
        <w:rPr>
          <w:rFonts w:ascii="微軟正黑體" w:eastAsia="微軟正黑體" w:hAnsi="微軟正黑體" w:hint="eastAsia"/>
          <w:spacing w:val="20"/>
          <w:sz w:val="24"/>
          <w:lang w:eastAsia="zh-TW"/>
        </w:rPr>
        <w:t>4.8％</w:t>
      </w:r>
      <w:r w:rsidR="009163E3">
        <w:rPr>
          <w:rFonts w:ascii="微軟正黑體" w:eastAsia="微軟正黑體" w:hAnsi="微軟正黑體" w:hint="eastAsia"/>
          <w:spacing w:val="20"/>
          <w:sz w:val="24"/>
          <w:lang w:eastAsia="zh-TW"/>
        </w:rPr>
        <w:t>，實質工資已出現負0.8%的變化</w:t>
      </w:r>
      <w:r w:rsidRPr="00D000BE">
        <w:rPr>
          <w:rFonts w:ascii="微軟正黑體" w:eastAsia="微軟正黑體" w:hAnsi="微軟正黑體" w:hint="eastAsia"/>
          <w:spacing w:val="20"/>
          <w:sz w:val="24"/>
          <w:lang w:eastAsia="zh-TW"/>
        </w:rPr>
        <w:t>。如果名義工資繼續增長約4％，</w:t>
      </w:r>
      <w:r w:rsidR="009163E3">
        <w:rPr>
          <w:rFonts w:ascii="微軟正黑體" w:eastAsia="微軟正黑體" w:hAnsi="微軟正黑體" w:hint="eastAsia"/>
          <w:spacing w:val="20"/>
          <w:sz w:val="24"/>
          <w:lang w:eastAsia="zh-TW"/>
        </w:rPr>
        <w:t>而我們預計2015年第一季通脹率為4.4%，即意味着</w:t>
      </w:r>
      <w:r w:rsidRPr="00D000BE">
        <w:rPr>
          <w:rFonts w:ascii="微軟正黑體" w:eastAsia="微軟正黑體" w:hAnsi="微軟正黑體" w:hint="eastAsia"/>
          <w:spacing w:val="20"/>
          <w:sz w:val="24"/>
          <w:lang w:eastAsia="zh-TW"/>
        </w:rPr>
        <w:t>的實際工資</w:t>
      </w:r>
      <w:r w:rsidR="00752307" w:rsidRPr="00D000BE">
        <w:rPr>
          <w:rFonts w:ascii="微軟正黑體" w:eastAsia="微軟正黑體" w:hAnsi="微軟正黑體" w:hint="eastAsia"/>
          <w:spacing w:val="20"/>
          <w:sz w:val="24"/>
          <w:lang w:eastAsia="zh-TW"/>
        </w:rPr>
        <w:t>負</w:t>
      </w:r>
      <w:r w:rsidRPr="00D000BE">
        <w:rPr>
          <w:rFonts w:ascii="微軟正黑體" w:eastAsia="微軟正黑體" w:hAnsi="微軟正黑體" w:hint="eastAsia"/>
          <w:spacing w:val="20"/>
          <w:sz w:val="24"/>
          <w:lang w:eastAsia="zh-TW"/>
        </w:rPr>
        <w:t>增長現象可能會延伸到</w:t>
      </w:r>
      <w:r w:rsidR="009163E3">
        <w:rPr>
          <w:rFonts w:ascii="微軟正黑體" w:eastAsia="微軟正黑體" w:hAnsi="微軟正黑體" w:hint="eastAsia"/>
          <w:spacing w:val="20"/>
          <w:sz w:val="24"/>
          <w:lang w:eastAsia="zh-TW"/>
        </w:rPr>
        <w:t>2015年第一季</w:t>
      </w:r>
      <w:r w:rsidRPr="00D56897">
        <w:rPr>
          <w:rFonts w:ascii="微軟正黑體" w:eastAsia="微軟正黑體" w:hAnsi="微軟正黑體" w:hint="eastAsia"/>
          <w:spacing w:val="20"/>
          <w:sz w:val="24"/>
          <w:lang w:eastAsia="zh-TW"/>
        </w:rPr>
        <w:t>。</w:t>
      </w:r>
    </w:p>
    <w:p w14:paraId="2A8FA183" w14:textId="77777777" w:rsidR="001759DC" w:rsidRPr="007E0F3C" w:rsidRDefault="00B34D5D" w:rsidP="00CB6D0D">
      <w:pPr>
        <w:pStyle w:val="1"/>
        <w:rPr>
          <w:rFonts w:ascii="微軟正黑體" w:eastAsia="微軟正黑體" w:hAnsi="微軟正黑體"/>
        </w:rPr>
      </w:pPr>
      <w:r w:rsidRPr="00F8166B">
        <w:br w:type="page"/>
      </w:r>
      <w:bookmarkStart w:id="20" w:name="_Toc407998093"/>
      <w:bookmarkStart w:id="21" w:name="_Toc408000687"/>
      <w:r w:rsidR="00CB6D0D" w:rsidRPr="007E0F3C">
        <w:rPr>
          <w:rFonts w:ascii="微軟正黑體" w:eastAsia="微軟正黑體" w:hAnsi="微軟正黑體"/>
        </w:rPr>
        <w:lastRenderedPageBreak/>
        <w:t xml:space="preserve">5  </w:t>
      </w:r>
      <w:r w:rsidR="00052971" w:rsidRPr="007E0F3C">
        <w:rPr>
          <w:rFonts w:ascii="微軟正黑體" w:eastAsia="微軟正黑體" w:hAnsi="微軟正黑體" w:hint="eastAsia"/>
        </w:rPr>
        <w:t>勞動市場</w:t>
      </w:r>
      <w:bookmarkEnd w:id="20"/>
      <w:bookmarkEnd w:id="21"/>
    </w:p>
    <w:p w14:paraId="6333FAF9" w14:textId="0314FCCE" w:rsidR="00052971" w:rsidRDefault="00052971" w:rsidP="00052971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經</w:t>
      </w:r>
      <w:r w:rsidRPr="00F55D2A">
        <w:rPr>
          <w:rFonts w:ascii="微軟正黑體" w:eastAsia="微軟正黑體" w:hAnsi="微軟正黑體" w:hint="eastAsia"/>
          <w:spacing w:val="20"/>
          <w:sz w:val="24"/>
          <w:lang w:eastAsia="zh-TW"/>
        </w:rPr>
        <w:t>季節性調整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的</w:t>
      </w:r>
      <w:r w:rsidRPr="00F55D2A">
        <w:rPr>
          <w:rFonts w:ascii="微軟正黑體" w:eastAsia="微軟正黑體" w:hAnsi="微軟正黑體" w:hint="eastAsia"/>
          <w:spacing w:val="20"/>
          <w:sz w:val="24"/>
          <w:lang w:eastAsia="zh-TW"/>
        </w:rPr>
        <w:t>失業率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臨時數字在2014</w:t>
      </w:r>
      <w:r w:rsidRPr="00F55D2A">
        <w:rPr>
          <w:rFonts w:ascii="微軟正黑體" w:eastAsia="微軟正黑體" w:hAnsi="微軟正黑體" w:hint="eastAsia"/>
          <w:spacing w:val="20"/>
          <w:sz w:val="24"/>
          <w:lang w:eastAsia="zh-TW"/>
        </w:rPr>
        <w:t>年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9</w:t>
      </w:r>
      <w:r w:rsidRPr="00F55D2A">
        <w:rPr>
          <w:rFonts w:ascii="微軟正黑體" w:eastAsia="微軟正黑體" w:hAnsi="微軟正黑體" w:hint="eastAsia"/>
          <w:spacing w:val="20"/>
          <w:sz w:val="24"/>
          <w:lang w:eastAsia="zh-TW"/>
        </w:rPr>
        <w:t>月至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11</w:t>
      </w:r>
      <w:r w:rsidRPr="00F55D2A">
        <w:rPr>
          <w:rFonts w:ascii="微軟正黑體" w:eastAsia="微軟正黑體" w:hAnsi="微軟正黑體" w:hint="eastAsia"/>
          <w:spacing w:val="20"/>
          <w:sz w:val="24"/>
          <w:lang w:eastAsia="zh-TW"/>
        </w:rPr>
        <w:t>月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維持在3.3</w:t>
      </w:r>
      <w:r w:rsidRPr="00F55D2A">
        <w:rPr>
          <w:rFonts w:ascii="微軟正黑體" w:eastAsia="微軟正黑體" w:hAnsi="微軟正黑體" w:hint="eastAsia"/>
          <w:spacing w:val="20"/>
          <w:sz w:val="24"/>
          <w:lang w:eastAsia="zh-TW"/>
        </w:rPr>
        <w:t>%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水平，反映了勞動力市場相對緊張。預計失業率在2014年第四季為3.3%，全年為3.2%。</w:t>
      </w:r>
    </w:p>
    <w:p w14:paraId="5C30213C" w14:textId="77777777" w:rsidR="00052971" w:rsidRDefault="00052971" w:rsidP="00E71F33">
      <w:pPr>
        <w:pStyle w:val="chart2"/>
      </w:pPr>
    </w:p>
    <w:p w14:paraId="3D77E186" w14:textId="019D3DAD" w:rsidR="00052971" w:rsidRPr="00052971" w:rsidRDefault="005D3321" w:rsidP="00052971">
      <w:pPr>
        <w:pStyle w:val="a6"/>
        <w:keepLines/>
        <w:spacing w:line="320" w:lineRule="exact"/>
        <w:rPr>
          <w:rFonts w:ascii="微軟正黑體" w:eastAsia="微軟正黑體" w:hAnsi="微軟正黑體"/>
          <w:spacing w:val="20"/>
          <w:sz w:val="24"/>
          <w:lang w:eastAsia="zh-TW"/>
        </w:rPr>
      </w:pP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在</w:t>
      </w:r>
      <w:r w:rsidR="00052971" w:rsidRPr="00052971">
        <w:rPr>
          <w:rFonts w:ascii="微軟正黑體" w:eastAsia="微軟正黑體" w:hAnsi="微軟正黑體" w:hint="eastAsia"/>
          <w:spacing w:val="20"/>
          <w:sz w:val="24"/>
          <w:lang w:eastAsia="zh-TW"/>
        </w:rPr>
        <w:t>季節性因素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影響下</w:t>
      </w:r>
      <w:r w:rsidR="00052971" w:rsidRPr="00052971">
        <w:rPr>
          <w:rFonts w:ascii="微軟正黑體" w:eastAsia="微軟正黑體" w:hAnsi="微軟正黑體" w:hint="eastAsia"/>
          <w:spacing w:val="20"/>
          <w:sz w:val="24"/>
          <w:lang w:eastAsia="zh-TW"/>
        </w:rPr>
        <w:t>，預計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2015年第一季</w:t>
      </w:r>
      <w:r w:rsidR="00052971" w:rsidRPr="00052971">
        <w:rPr>
          <w:rFonts w:ascii="微軟正黑體" w:eastAsia="微軟正黑體" w:hAnsi="微軟正黑體" w:hint="eastAsia"/>
          <w:spacing w:val="20"/>
          <w:sz w:val="24"/>
          <w:lang w:eastAsia="zh-TW"/>
        </w:rPr>
        <w:t>就業人數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減少</w:t>
      </w:r>
      <w:r w:rsidR="00052971" w:rsidRPr="00052971">
        <w:rPr>
          <w:rFonts w:ascii="微軟正黑體" w:eastAsia="微軟正黑體" w:hAnsi="微軟正黑體" w:hint="eastAsia"/>
          <w:spacing w:val="20"/>
          <w:sz w:val="24"/>
          <w:lang w:eastAsia="zh-TW"/>
        </w:rPr>
        <w:t>35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,</w:t>
      </w:r>
      <w:r w:rsidR="00052971" w:rsidRPr="00052971">
        <w:rPr>
          <w:rFonts w:ascii="微軟正黑體" w:eastAsia="微軟正黑體" w:hAnsi="微軟正黑體" w:hint="eastAsia"/>
          <w:spacing w:val="20"/>
          <w:sz w:val="24"/>
          <w:lang w:eastAsia="zh-TW"/>
        </w:rPr>
        <w:t>000</w:t>
      </w:r>
      <w:r w:rsidR="00052971">
        <w:rPr>
          <w:rFonts w:ascii="微軟正黑體" w:eastAsia="微軟正黑體" w:hAnsi="微軟正黑體" w:hint="eastAsia"/>
          <w:spacing w:val="20"/>
          <w:sz w:val="24"/>
          <w:lang w:eastAsia="zh-TW"/>
        </w:rPr>
        <w:t>人，而</w:t>
      </w:r>
      <w:r w:rsidR="00052971" w:rsidRPr="00052971">
        <w:rPr>
          <w:rFonts w:ascii="微軟正黑體" w:eastAsia="微軟正黑體" w:hAnsi="微軟正黑體" w:hint="eastAsia"/>
          <w:spacing w:val="20"/>
          <w:sz w:val="24"/>
          <w:lang w:eastAsia="zh-TW"/>
        </w:rPr>
        <w:t>失業人</w:t>
      </w:r>
      <w:r w:rsidR="003B5357">
        <w:rPr>
          <w:rFonts w:ascii="微軟正黑體" w:eastAsia="微軟正黑體" w:hAnsi="微軟正黑體" w:hint="eastAsia"/>
          <w:spacing w:val="20"/>
          <w:sz w:val="24"/>
          <w:lang w:eastAsia="zh-TW"/>
        </w:rPr>
        <w:t>數</w:t>
      </w:r>
      <w:r w:rsidR="00052971">
        <w:rPr>
          <w:rFonts w:ascii="微軟正黑體" w:eastAsia="微軟正黑體" w:hAnsi="微軟正黑體" w:hint="eastAsia"/>
          <w:spacing w:val="20"/>
          <w:sz w:val="24"/>
          <w:lang w:eastAsia="zh-TW"/>
        </w:rPr>
        <w:t>則較上一季上升</w:t>
      </w:r>
      <w:r w:rsidR="00052971" w:rsidRPr="00052971">
        <w:rPr>
          <w:rFonts w:ascii="微軟正黑體" w:eastAsia="微軟正黑體" w:hAnsi="微軟正黑體" w:hint="eastAsia"/>
          <w:spacing w:val="20"/>
          <w:sz w:val="24"/>
          <w:lang w:eastAsia="zh-TW"/>
        </w:rPr>
        <w:t>3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,</w:t>
      </w:r>
      <w:r w:rsidR="00052971" w:rsidRPr="00052971">
        <w:rPr>
          <w:rFonts w:ascii="微軟正黑體" w:eastAsia="微軟正黑體" w:hAnsi="微軟正黑體" w:hint="eastAsia"/>
          <w:spacing w:val="20"/>
          <w:sz w:val="24"/>
          <w:lang w:eastAsia="zh-TW"/>
        </w:rPr>
        <w:t>000</w:t>
      </w:r>
      <w:r w:rsidR="00052971">
        <w:rPr>
          <w:rFonts w:ascii="微軟正黑體" w:eastAsia="微軟正黑體" w:hAnsi="微軟正黑體" w:hint="eastAsia"/>
          <w:spacing w:val="20"/>
          <w:sz w:val="24"/>
          <w:lang w:eastAsia="zh-TW"/>
        </w:rPr>
        <w:t>人</w:t>
      </w:r>
      <w:r w:rsidR="00052971" w:rsidRPr="00052971">
        <w:rPr>
          <w:rFonts w:ascii="微軟正黑體" w:eastAsia="微軟正黑體" w:hAnsi="微軟正黑體" w:hint="eastAsia"/>
          <w:spacing w:val="20"/>
          <w:sz w:val="24"/>
          <w:lang w:eastAsia="zh-TW"/>
        </w:rPr>
        <w:t>。預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料</w:t>
      </w:r>
      <w:r w:rsidR="00052971" w:rsidRPr="00052971">
        <w:rPr>
          <w:rFonts w:ascii="微軟正黑體" w:eastAsia="微軟正黑體" w:hAnsi="微軟正黑體" w:hint="eastAsia"/>
          <w:spacing w:val="20"/>
          <w:sz w:val="24"/>
          <w:lang w:eastAsia="zh-TW"/>
        </w:rPr>
        <w:t>就業市場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仍</w:t>
      </w:r>
      <w:r w:rsidR="00052971" w:rsidRPr="00052971">
        <w:rPr>
          <w:rFonts w:ascii="微軟正黑體" w:eastAsia="微軟正黑體" w:hAnsi="微軟正黑體" w:hint="eastAsia"/>
          <w:spacing w:val="20"/>
          <w:sz w:val="24"/>
          <w:lang w:eastAsia="zh-TW"/>
        </w:rPr>
        <w:t>保持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偏緊，</w:t>
      </w:r>
      <w:r w:rsidR="00052971" w:rsidRPr="00052971">
        <w:rPr>
          <w:rFonts w:ascii="微軟正黑體" w:eastAsia="微軟正黑體" w:hAnsi="微軟正黑體" w:hint="eastAsia"/>
          <w:spacing w:val="20"/>
          <w:sz w:val="24"/>
          <w:lang w:eastAsia="zh-TW"/>
        </w:rPr>
        <w:t>2015年</w:t>
      </w:r>
      <w:r>
        <w:rPr>
          <w:rFonts w:ascii="微軟正黑體" w:eastAsia="微軟正黑體" w:hAnsi="微軟正黑體" w:hint="eastAsia"/>
          <w:spacing w:val="20"/>
          <w:sz w:val="24"/>
          <w:lang w:eastAsia="zh-TW"/>
        </w:rPr>
        <w:t>第一季</w:t>
      </w:r>
      <w:r w:rsidR="00052971" w:rsidRPr="00052971">
        <w:rPr>
          <w:rFonts w:ascii="微軟正黑體" w:eastAsia="微軟正黑體" w:hAnsi="微軟正黑體" w:hint="eastAsia"/>
          <w:spacing w:val="20"/>
          <w:sz w:val="24"/>
          <w:lang w:eastAsia="zh-TW"/>
        </w:rPr>
        <w:t>失業率將保持在3.3％</w:t>
      </w:r>
      <w:r w:rsidR="00052971">
        <w:rPr>
          <w:rFonts w:ascii="微軟正黑體" w:eastAsia="微軟正黑體" w:hAnsi="微軟正黑體" w:hint="eastAsia"/>
          <w:spacing w:val="20"/>
          <w:sz w:val="24"/>
          <w:lang w:eastAsia="zh-TW"/>
        </w:rPr>
        <w:t>。</w:t>
      </w:r>
    </w:p>
    <w:p w14:paraId="3B13ACA5" w14:textId="77777777" w:rsidR="000E006C" w:rsidRDefault="00C20725" w:rsidP="000E006C">
      <w:pPr>
        <w:jc w:val="center"/>
      </w:pPr>
      <w:r>
        <w:rPr>
          <w:noProof/>
        </w:rPr>
        <w:drawing>
          <wp:inline distT="0" distB="0" distL="0" distR="0" wp14:anchorId="6C9E6D30" wp14:editId="14CFB4FD">
            <wp:extent cx="5715000" cy="3997960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7CD2FD0C" w14:textId="77777777" w:rsidR="008E578F" w:rsidRPr="00052971" w:rsidRDefault="001759DC" w:rsidP="000E006C">
      <w:pPr>
        <w:pStyle w:val="1"/>
        <w:rPr>
          <w:rFonts w:ascii="微軟正黑體" w:eastAsia="微軟正黑體" w:hAnsi="微軟正黑體"/>
        </w:rPr>
      </w:pPr>
      <w:bookmarkStart w:id="22" w:name="_Toc407998094"/>
      <w:bookmarkEnd w:id="22"/>
      <w:r w:rsidRPr="00F8166B">
        <w:br w:type="page"/>
      </w:r>
      <w:bookmarkStart w:id="23" w:name="_Toc407998095"/>
      <w:bookmarkStart w:id="24" w:name="_Toc408000688"/>
      <w:r w:rsidR="00CB6D0D" w:rsidRPr="00052971">
        <w:rPr>
          <w:rFonts w:ascii="微軟正黑體" w:eastAsia="微軟正黑體" w:hAnsi="微軟正黑體"/>
        </w:rPr>
        <w:lastRenderedPageBreak/>
        <w:t xml:space="preserve">6  </w:t>
      </w:r>
      <w:bookmarkEnd w:id="23"/>
      <w:bookmarkEnd w:id="24"/>
      <w:r w:rsidR="00C903A1" w:rsidRPr="00052971">
        <w:rPr>
          <w:rFonts w:ascii="微軟正黑體" w:eastAsia="微軟正黑體" w:hAnsi="微軟正黑體" w:hint="eastAsia"/>
        </w:rPr>
        <w:t>總論</w:t>
      </w:r>
    </w:p>
    <w:p w14:paraId="45429DA9" w14:textId="77777777" w:rsidR="00270CDA" w:rsidRPr="00754D18" w:rsidRDefault="00270CDA" w:rsidP="009158F3">
      <w:pPr>
        <w:pStyle w:val="2"/>
        <w:rPr>
          <w:rFonts w:ascii="微軟正黑體" w:eastAsia="微軟正黑體" w:hAnsi="微軟正黑體"/>
          <w:szCs w:val="32"/>
        </w:rPr>
      </w:pPr>
      <w:r w:rsidRPr="00754D18">
        <w:rPr>
          <w:rFonts w:ascii="微軟正黑體" w:eastAsia="微軟正黑體" w:hAnsi="微軟正黑體"/>
          <w:szCs w:val="32"/>
        </w:rPr>
        <w:t>6.1</w:t>
      </w:r>
      <w:r w:rsidR="00C903A1" w:rsidRPr="00754D18">
        <w:rPr>
          <w:rFonts w:ascii="微軟正黑體" w:eastAsia="微軟正黑體" w:hAnsi="微軟正黑體" w:hint="eastAsia"/>
          <w:szCs w:val="32"/>
        </w:rPr>
        <w:t>佔領運動的影響</w:t>
      </w:r>
    </w:p>
    <w:p w14:paraId="7BEA998A" w14:textId="721147D4" w:rsidR="00F62971" w:rsidRDefault="00C903A1" w:rsidP="00F62971">
      <w:pPr>
        <w:pStyle w:val="a6"/>
        <w:keepLines/>
        <w:tabs>
          <w:tab w:val="left" w:pos="270"/>
        </w:tabs>
        <w:spacing w:line="320" w:lineRule="exact"/>
        <w:rPr>
          <w:rFonts w:ascii="微軟正黑體" w:eastAsia="微軟正黑體" w:hAnsi="微軟正黑體"/>
          <w:lang w:eastAsia="zh-TW"/>
        </w:rPr>
      </w:pPr>
      <w:r w:rsidRPr="00F62971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儘管佔領運動持續</w:t>
      </w:r>
      <w:r w:rsidRPr="003B5357">
        <w:rPr>
          <w:rFonts w:ascii="微軟正黑體" w:eastAsia="微軟正黑體" w:hAnsi="微軟正黑體" w:hint="eastAsia"/>
          <w:lang w:eastAsia="zh-TW"/>
        </w:rPr>
        <w:t>79天，但運動對經濟活動</w:t>
      </w:r>
      <w:r w:rsidRPr="00AD468E">
        <w:rPr>
          <w:rFonts w:ascii="微軟正黑體" w:eastAsia="微軟正黑體" w:hAnsi="微軟正黑體" w:hint="eastAsia"/>
          <w:lang w:eastAsia="zh-TW"/>
        </w:rPr>
        <w:t>(</w:t>
      </w:r>
      <w:r w:rsidR="00ED4066" w:rsidRPr="00AD468E">
        <w:rPr>
          <w:rFonts w:ascii="微軟正黑體" w:eastAsia="微軟正黑體" w:hAnsi="微軟正黑體" w:hint="eastAsia"/>
          <w:lang w:eastAsia="zh-TW"/>
        </w:rPr>
        <w:t>以</w:t>
      </w:r>
      <w:r w:rsidRPr="00AD468E">
        <w:rPr>
          <w:rFonts w:ascii="微軟正黑體" w:eastAsia="微軟正黑體" w:hAnsi="微軟正黑體" w:hint="eastAsia"/>
          <w:lang w:eastAsia="zh-TW"/>
        </w:rPr>
        <w:t>實質</w:t>
      </w:r>
      <w:r w:rsidR="00ED4066" w:rsidRPr="00AD468E">
        <w:rPr>
          <w:rFonts w:ascii="微軟正黑體" w:eastAsia="微軟正黑體" w:hAnsi="微軟正黑體" w:hint="eastAsia"/>
          <w:lang w:eastAsia="zh-TW"/>
        </w:rPr>
        <w:t>GDP衡量</w:t>
      </w:r>
      <w:r w:rsidRPr="00AD468E">
        <w:rPr>
          <w:rFonts w:ascii="微軟正黑體" w:eastAsia="微軟正黑體" w:hAnsi="微軟正黑體" w:hint="eastAsia"/>
          <w:lang w:eastAsia="zh-TW"/>
        </w:rPr>
        <w:t>)的影響微不足道。</w:t>
      </w:r>
      <w:r w:rsidR="00862A0E" w:rsidRPr="00AD468E">
        <w:rPr>
          <w:rFonts w:ascii="微軟正黑體" w:eastAsia="微軟正黑體" w:hAnsi="微軟正黑體"/>
          <w:lang w:eastAsia="zh-TW"/>
        </w:rPr>
        <w:t xml:space="preserve"> </w:t>
      </w:r>
    </w:p>
    <w:p w14:paraId="67C69AC8" w14:textId="77777777" w:rsidR="00F62971" w:rsidRPr="00F62971" w:rsidRDefault="00F62971" w:rsidP="006A26D4"/>
    <w:p w14:paraId="01CC04E9" w14:textId="20242881" w:rsidR="00CD5FB6" w:rsidRDefault="00C903A1" w:rsidP="00ED4066">
      <w:pPr>
        <w:pStyle w:val="a6"/>
        <w:keepLines/>
        <w:tabs>
          <w:tab w:val="left" w:pos="270"/>
        </w:tabs>
        <w:spacing w:line="320" w:lineRule="exact"/>
        <w:rPr>
          <w:rFonts w:ascii="微軟正黑體" w:eastAsia="微軟正黑體" w:hAnsi="微軟正黑體"/>
          <w:spacing w:val="20"/>
          <w:sz w:val="24"/>
          <w:szCs w:val="24"/>
          <w:lang w:eastAsia="zh-TW"/>
        </w:rPr>
      </w:pPr>
      <w:r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在</w:t>
      </w:r>
      <w:r w:rsidR="00144562"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佔領</w:t>
      </w:r>
      <w:r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運動開始</w:t>
      </w:r>
      <w:r w:rsidR="00144562"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時</w:t>
      </w:r>
      <w:r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，公眾似乎擔心運動可能透過遊客與零售額下跌</w:t>
      </w:r>
      <w:r w:rsidRPr="007E755A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，</w:t>
      </w:r>
      <w:r w:rsidR="00144562" w:rsidRPr="007E755A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從</w:t>
      </w:r>
      <w:r w:rsidRPr="007E755A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而對經濟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產生不良影響。在上一次我們</w:t>
      </w:r>
      <w:r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的新聞公布中（2014年10月</w:t>
      </w:r>
      <w:r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8日），我們討論了佔領運動可能對</w:t>
      </w:r>
      <w:r w:rsidR="00ED4066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經濟活動（以實</w:t>
      </w:r>
      <w:r w:rsidR="009163E3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質</w:t>
      </w:r>
      <w:r w:rsidR="00ED4066"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GDP衡量）的影響，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可能</w:t>
      </w:r>
      <w:r w:rsidR="00144562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透過</w:t>
      </w:r>
      <w:r w:rsidR="00ED4066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訪港旅客數字的下跌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，</w:t>
      </w:r>
      <w:r w:rsidR="00ED4066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以及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零售銷售的下降</w:t>
      </w:r>
      <w:r w:rsidR="00ED4066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來表現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。一個簡單的</w:t>
      </w:r>
      <w:r w:rsidR="00ED4066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情景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是</w:t>
      </w:r>
      <w:r w:rsidR="00ED4066"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:佔領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運動</w:t>
      </w:r>
      <w:r w:rsidR="00337980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如在一個月內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導致訪港旅客和零售銷售</w:t>
      </w:r>
      <w:r w:rsidR="00144562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額</w:t>
      </w:r>
      <w:r w:rsidR="00ED4066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下跌</w:t>
      </w:r>
      <w:r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10</w:t>
      </w:r>
      <w:r w:rsidR="00CD5FB6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％</w:t>
      </w:r>
      <w:r w:rsidR="00CD5FB6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，</w:t>
      </w:r>
      <w:r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在這種情況下，我們的模型</w:t>
      </w:r>
      <w:r w:rsidR="00ED4066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會把實質</w:t>
      </w:r>
      <w:r w:rsidR="00ED4066"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GDP</w:t>
      </w:r>
      <w:r w:rsidR="00144562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增長</w:t>
      </w:r>
      <w:r w:rsidR="00ED4066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調低</w:t>
      </w:r>
      <w:r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0.4％。事實證明，</w:t>
      </w:r>
      <w:r w:rsidR="00ED4066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佔領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運動對</w:t>
      </w:r>
      <w:r w:rsidR="00ED4066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訪港旅客的數字及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零售銷售</w:t>
      </w:r>
      <w:r w:rsidR="00ED4066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並沒有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任何影響</w:t>
      </w:r>
      <w:r w:rsidR="00ED4066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。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因此，</w:t>
      </w:r>
      <w:r w:rsidR="00ED4066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與我們的情景分析一致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，</w:t>
      </w:r>
      <w:r w:rsidR="00ED4066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佔領運動對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實</w:t>
      </w:r>
      <w:r w:rsidR="00ED4066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質</w:t>
      </w:r>
      <w:r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GDP沒有</w:t>
      </w:r>
      <w:r w:rsidR="00144562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不利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影響。</w:t>
      </w:r>
    </w:p>
    <w:p w14:paraId="492CD235" w14:textId="77777777" w:rsidR="00F62971" w:rsidRPr="00CD5FB6" w:rsidRDefault="00F62971" w:rsidP="006A26D4"/>
    <w:p w14:paraId="3A6B1A8D" w14:textId="482DF8C3" w:rsidR="00ED4066" w:rsidRPr="00AD468E" w:rsidRDefault="00ED4066" w:rsidP="00ED4066">
      <w:pPr>
        <w:pStyle w:val="a6"/>
        <w:keepLines/>
        <w:tabs>
          <w:tab w:val="left" w:pos="270"/>
        </w:tabs>
        <w:spacing w:line="320" w:lineRule="exact"/>
        <w:rPr>
          <w:rFonts w:ascii="微軟正黑體" w:eastAsia="微軟正黑體" w:hAnsi="微軟正黑體" w:cs="細明體"/>
          <w:color w:val="222222"/>
          <w:sz w:val="24"/>
          <w:szCs w:val="24"/>
          <w:lang w:eastAsia="zh-TW"/>
        </w:rPr>
      </w:pP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一種解釋是，遊客和零售銷售</w:t>
      </w:r>
      <w:r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可透過許多其他區域進行，而避免前往受佔領運動影響的地區</w:t>
      </w:r>
      <w:r w:rsidR="00144562"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，如</w:t>
      </w:r>
      <w:r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金鐘、銅鑼灣和旺角。</w:t>
      </w:r>
      <w:r w:rsidR="00144562"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與此同時</w:t>
      </w:r>
      <w:r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，在</w:t>
      </w:r>
      <w:r w:rsidR="00EE1D98"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佔領</w:t>
      </w:r>
      <w:r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地區的一些商家受到</w:t>
      </w:r>
      <w:r w:rsidR="00144562"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負面</w:t>
      </w:r>
      <w:r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影響，並</w:t>
      </w:r>
      <w:r w:rsidR="00EE1D98"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被</w:t>
      </w:r>
      <w:r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廣泛報導，</w:t>
      </w:r>
      <w:r w:rsid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從而</w:t>
      </w:r>
      <w:r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產生</w:t>
      </w:r>
      <w:r w:rsidR="00EE1D98"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了</w:t>
      </w:r>
      <w:r w:rsidR="00144562"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佔領運動</w:t>
      </w:r>
      <w:r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對經濟不利影響的</w:t>
      </w:r>
      <w:r w:rsid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印象</w:t>
      </w:r>
      <w:r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。事實上，至少</w:t>
      </w:r>
      <w:r w:rsidR="00EE1D98"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由已公布</w:t>
      </w:r>
      <w:r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的數據</w:t>
      </w:r>
      <w:r w:rsidR="00EE1D98"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顯示</w:t>
      </w:r>
      <w:r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，</w:t>
      </w:r>
      <w:r w:rsidR="00EE1D98"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佔領</w:t>
      </w:r>
      <w:r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運動</w:t>
      </w:r>
      <w:r w:rsidR="007D1821"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的負面</w:t>
      </w:r>
      <w:r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影響很可能</w:t>
      </w:r>
      <w:r w:rsid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只</w:t>
      </w:r>
      <w:r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集中在</w:t>
      </w:r>
      <w:r w:rsidR="00EE1D98"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某些</w:t>
      </w:r>
      <w:r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特定地區</w:t>
      </w:r>
      <w:r w:rsidR="00EE1D98"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，而</w:t>
      </w:r>
      <w:r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主要</w:t>
      </w:r>
      <w:r w:rsidR="00EE1D98"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的商業活</w:t>
      </w:r>
      <w:r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動</w:t>
      </w:r>
      <w:r w:rsidR="00EE1D98"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卻沒有受損</w:t>
      </w:r>
      <w:r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。</w:t>
      </w:r>
    </w:p>
    <w:p w14:paraId="39E66C2A" w14:textId="77777777" w:rsidR="00ED4066" w:rsidRPr="003B5357" w:rsidRDefault="00ED4066" w:rsidP="006A26D4"/>
    <w:p w14:paraId="57D05209" w14:textId="28B17340" w:rsidR="00EE1D98" w:rsidRPr="00FB0467" w:rsidRDefault="00EE1D98" w:rsidP="00EE1D98">
      <w:pPr>
        <w:pStyle w:val="a6"/>
        <w:keepLines/>
        <w:tabs>
          <w:tab w:val="left" w:pos="270"/>
        </w:tabs>
        <w:spacing w:line="320" w:lineRule="exact"/>
        <w:rPr>
          <w:rFonts w:ascii="微軟正黑體" w:eastAsia="微軟正黑體" w:hAnsi="微軟正黑體"/>
          <w:spacing w:val="20"/>
          <w:sz w:val="24"/>
          <w:szCs w:val="24"/>
          <w:lang w:eastAsia="zh-TW"/>
        </w:rPr>
      </w:pPr>
      <w:r w:rsidRPr="00FB046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我們同意，還有其他成本轉嫁到普</w:t>
      </w:r>
      <w:r w:rsidR="00FB046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羅</w:t>
      </w:r>
      <w:r w:rsidRPr="00FB046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大眾，比如</w:t>
      </w:r>
      <w:r w:rsidR="007D1821" w:rsidRPr="00FB046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市民要付出</w:t>
      </w:r>
      <w:r w:rsidRPr="00FB046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額外的交通時間和</w:t>
      </w:r>
      <w:r w:rsidR="007D1821" w:rsidRPr="00FB046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承擔</w:t>
      </w:r>
      <w:r w:rsidRPr="00FB046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心理困擾。這些成本難以量化，而這些</w:t>
      </w:r>
      <w:r w:rsidR="00FB046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都</w:t>
      </w:r>
      <w:r w:rsidRPr="00FB046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不是GDP指標的一部分，因此不包括在本報告中。</w:t>
      </w:r>
    </w:p>
    <w:p w14:paraId="6DE807BF" w14:textId="77777777" w:rsidR="00AD37F5" w:rsidRPr="003B5357" w:rsidRDefault="00AD37F5" w:rsidP="006A26D4"/>
    <w:p w14:paraId="797E1A7A" w14:textId="56D9FABC" w:rsidR="00543DCB" w:rsidRPr="003B5357" w:rsidRDefault="00543DCB" w:rsidP="00543DCB">
      <w:pPr>
        <w:pStyle w:val="a6"/>
        <w:keepLines/>
        <w:tabs>
          <w:tab w:val="left" w:pos="270"/>
        </w:tabs>
        <w:spacing w:line="320" w:lineRule="exact"/>
        <w:rPr>
          <w:rFonts w:ascii="微軟正黑體" w:eastAsia="微軟正黑體" w:hAnsi="微軟正黑體"/>
          <w:spacing w:val="20"/>
          <w:sz w:val="24"/>
          <w:szCs w:val="24"/>
          <w:lang w:eastAsia="zh-TW"/>
        </w:rPr>
      </w:pP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佔領運動會否損害</w:t>
      </w:r>
      <w:r w:rsidR="007D182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在香港從事</w:t>
      </w:r>
      <w:r w:rsidR="00FC559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商業活動的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信心，而導致經濟增長放緩</w:t>
      </w:r>
      <w:r w:rsidR="007D182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呢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？</w:t>
      </w:r>
      <w:r w:rsidR="00276C2F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投資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總額</w:t>
      </w:r>
      <w:r w:rsidR="00752307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的確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是</w:t>
      </w:r>
      <w:r w:rsidR="00FC559D"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GDP組成部分中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最不穩定</w:t>
      </w:r>
      <w:r w:rsidR="00FC559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的成分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，</w:t>
      </w:r>
      <w:r w:rsidR="00FC559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投資</w:t>
      </w:r>
      <w:r w:rsidR="00752307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的</w:t>
      </w:r>
      <w:r w:rsidR="007D182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傾向</w:t>
      </w:r>
      <w:r w:rsidR="00AF6B3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容易受</w:t>
      </w:r>
      <w:r w:rsidR="00FC559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本地及外部環境</w:t>
      </w:r>
      <w:r w:rsidR="00AF6B3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等</w:t>
      </w:r>
      <w:r w:rsidR="007D182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因素</w:t>
      </w:r>
      <w:r w:rsidR="00AF6B3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變化的影響</w:t>
      </w:r>
      <w:r w:rsidR="00FC559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。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在一般情況下，</w:t>
      </w:r>
      <w:r w:rsidR="00276C2F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投資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總額每</w:t>
      </w:r>
      <w:r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5％的變化</w:t>
      </w:r>
      <w:r w:rsidR="00FC559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，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可能導致</w:t>
      </w:r>
      <w:r w:rsidR="00752307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經濟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增長高達</w:t>
      </w:r>
      <w:r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1％的影響。</w:t>
      </w:r>
      <w:r w:rsidR="00752307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假若</w:t>
      </w:r>
      <w:r w:rsidR="00FC559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投資者對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香港的商業環境</w:t>
      </w:r>
      <w:r w:rsidR="00FC559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持</w:t>
      </w:r>
      <w:r w:rsidR="007D182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續有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悲觀</w:t>
      </w:r>
      <w:r w:rsidR="007D182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的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看法</w:t>
      </w:r>
      <w:r w:rsidR="00FC559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，則</w:t>
      </w:r>
      <w:r w:rsidR="00276C2F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投資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總額</w:t>
      </w:r>
      <w:r w:rsidR="007D182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將</w:t>
      </w:r>
      <w:r w:rsidR="00752307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有機</w:t>
      </w:r>
      <w:r w:rsidR="007D182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會減少</w:t>
      </w:r>
      <w:r w:rsidR="00FC559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，</w:t>
      </w:r>
      <w:r w:rsidR="007D182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而</w:t>
      </w:r>
      <w:r w:rsidR="00752307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經濟增長</w:t>
      </w:r>
      <w:r w:rsidR="007D182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也會</w:t>
      </w:r>
      <w:r w:rsidR="00FC559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因而下跌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。</w:t>
      </w:r>
    </w:p>
    <w:p w14:paraId="75CAB054" w14:textId="77777777" w:rsidR="00671435" w:rsidRPr="003B5357" w:rsidRDefault="00671435" w:rsidP="006A26D4"/>
    <w:p w14:paraId="7BDB8A03" w14:textId="7ABF90B4" w:rsidR="00671435" w:rsidRPr="003B5357" w:rsidRDefault="0086366C" w:rsidP="00671435">
      <w:pPr>
        <w:pStyle w:val="a6"/>
        <w:keepLines/>
        <w:tabs>
          <w:tab w:val="left" w:pos="270"/>
        </w:tabs>
        <w:spacing w:line="320" w:lineRule="exact"/>
        <w:rPr>
          <w:rFonts w:ascii="微軟正黑體" w:eastAsia="微軟正黑體" w:hAnsi="微軟正黑體"/>
          <w:spacing w:val="20"/>
          <w:sz w:val="24"/>
          <w:szCs w:val="24"/>
          <w:lang w:eastAsia="zh-TW"/>
        </w:rPr>
      </w:pP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由</w:t>
      </w:r>
      <w:r w:rsidR="00671435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佔領運動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引發</w:t>
      </w:r>
      <w:r w:rsidR="00752307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的</w:t>
      </w:r>
      <w:r w:rsidR="00671435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商業投資信心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受損</w:t>
      </w:r>
      <w:r w:rsidR="00752307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，</w:t>
      </w:r>
      <w:r w:rsidR="00671435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是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有</w:t>
      </w:r>
      <w:r w:rsidR="00752307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機會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發生</w:t>
      </w:r>
      <w:r w:rsidR="007D182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的。</w:t>
      </w:r>
      <w:r w:rsidR="00671435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但</w:t>
      </w:r>
      <w:r w:rsidR="00752307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以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目前的數據顯示，</w:t>
      </w:r>
      <w:r w:rsidR="00426FA2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這</w:t>
      </w:r>
      <w:r w:rsidR="00671435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在短期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內</w:t>
      </w:r>
      <w:r w:rsidR="00671435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不太可能</w:t>
      </w:r>
      <w:r w:rsidR="00426FA2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發生</w:t>
      </w:r>
      <w:r w:rsidR="00671435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。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佔領</w:t>
      </w:r>
      <w:r w:rsidR="00671435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運動可能</w:t>
      </w:r>
      <w:r w:rsidR="00752307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已</w:t>
      </w:r>
      <w:r w:rsidR="007D182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引</w:t>
      </w:r>
      <w:r w:rsidR="00426FA2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起</w:t>
      </w:r>
      <w:r w:rsidR="007D182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營商活動的</w:t>
      </w:r>
      <w:r w:rsidR="00752307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短期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壓力，</w:t>
      </w:r>
      <w:r w:rsidR="00671435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但</w:t>
      </w:r>
      <w:r w:rsidR="007D182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香港在</w:t>
      </w:r>
      <w:r w:rsidR="00671435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吸引企業來港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投資的基本因素仍</w:t>
      </w:r>
      <w:r w:rsidR="00671435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保持不變。這些因素包括法治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、</w:t>
      </w:r>
      <w:r w:rsidR="00671435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資訊自由流通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、</w:t>
      </w:r>
      <w:r w:rsidR="00671435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香港作為通往中國內地門戶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、</w:t>
      </w:r>
      <w:r w:rsidR="00671435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低稅率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、以及</w:t>
      </w:r>
      <w:r w:rsidR="00671435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世界一流的基礎設施建設等，只要這些因素沒有急劇惡化，我們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對香港</w:t>
      </w:r>
      <w:r w:rsidR="007D182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經濟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前景</w:t>
      </w:r>
      <w:r w:rsidR="007D182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仍</w:t>
      </w:r>
      <w:r w:rsidR="00B737B4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然</w:t>
      </w:r>
      <w:r w:rsidR="007D182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保持</w:t>
      </w:r>
      <w:r w:rsidR="00671435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樂觀。</w:t>
      </w:r>
    </w:p>
    <w:p w14:paraId="19F91140" w14:textId="509E2BF5" w:rsidR="006A26D4" w:rsidRDefault="006A26D4">
      <w:pPr>
        <w:widowControl/>
        <w:jc w:val="left"/>
      </w:pPr>
      <w:r>
        <w:br w:type="page"/>
      </w:r>
    </w:p>
    <w:p w14:paraId="5F092354" w14:textId="77777777" w:rsidR="00052971" w:rsidRPr="003B5357" w:rsidRDefault="00052971" w:rsidP="00270CDA"/>
    <w:p w14:paraId="031774E2" w14:textId="77777777" w:rsidR="00C67232" w:rsidRPr="00426FA2" w:rsidRDefault="00E928B0" w:rsidP="009158F3">
      <w:pPr>
        <w:pStyle w:val="2"/>
        <w:rPr>
          <w:rFonts w:ascii="微軟正黑體" w:eastAsia="微軟正黑體" w:hAnsi="微軟正黑體"/>
        </w:rPr>
      </w:pPr>
      <w:r w:rsidRPr="00AF6B3E">
        <w:t xml:space="preserve">6.2 </w:t>
      </w:r>
      <w:r w:rsidR="00455853" w:rsidRPr="00AF6B3E">
        <w:rPr>
          <w:rFonts w:ascii="微軟正黑體" w:eastAsia="微軟正黑體" w:hAnsi="微軟正黑體" w:hint="eastAsia"/>
        </w:rPr>
        <w:t>環球經濟</w:t>
      </w:r>
      <w:r w:rsidR="0086366C" w:rsidRPr="00426FA2">
        <w:rPr>
          <w:rFonts w:ascii="微軟正黑體" w:eastAsia="微軟正黑體" w:hAnsi="微軟正黑體" w:hint="eastAsia"/>
        </w:rPr>
        <w:t>的不確定性</w:t>
      </w:r>
    </w:p>
    <w:p w14:paraId="35EBB128" w14:textId="77777777" w:rsidR="0086366C" w:rsidRPr="003B5357" w:rsidRDefault="00535F2A" w:rsidP="0086366C">
      <w:pPr>
        <w:pStyle w:val="a6"/>
        <w:keepLines/>
        <w:tabs>
          <w:tab w:val="left" w:pos="270"/>
        </w:tabs>
        <w:spacing w:line="320" w:lineRule="exact"/>
        <w:rPr>
          <w:rFonts w:ascii="微軟正黑體" w:eastAsia="微軟正黑體" w:hAnsi="微軟正黑體"/>
          <w:spacing w:val="20"/>
          <w:sz w:val="24"/>
          <w:szCs w:val="24"/>
          <w:lang w:eastAsia="zh-TW"/>
        </w:rPr>
      </w:pP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相對於佔領運動的影響，</w:t>
      </w:r>
      <w:r w:rsidR="00455853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環球經濟的變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化</w:t>
      </w:r>
      <w:r w:rsidR="00EB799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對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經濟</w:t>
      </w:r>
      <w:r w:rsidR="00EB799D" w:rsidRPr="00AD468E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增長有更深</w:t>
      </w:r>
      <w:r w:rsidR="00455853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遠</w:t>
      </w:r>
      <w:r w:rsidR="00EB799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的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效應</w:t>
      </w:r>
      <w:r w:rsidR="00EB799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。</w:t>
      </w:r>
    </w:p>
    <w:p w14:paraId="369681BA" w14:textId="77777777" w:rsidR="006A26D4" w:rsidRPr="003B5357" w:rsidRDefault="006A26D4" w:rsidP="006A26D4"/>
    <w:p w14:paraId="24261188" w14:textId="2F18EFF9" w:rsidR="0086366C" w:rsidRPr="003B5357" w:rsidRDefault="00EB799D" w:rsidP="0086366C">
      <w:pPr>
        <w:pStyle w:val="a6"/>
        <w:keepLines/>
        <w:tabs>
          <w:tab w:val="left" w:pos="270"/>
        </w:tabs>
        <w:spacing w:line="320" w:lineRule="exact"/>
        <w:rPr>
          <w:rFonts w:ascii="微軟正黑體" w:eastAsia="微軟正黑體" w:hAnsi="微軟正黑體"/>
          <w:spacing w:val="20"/>
          <w:sz w:val="24"/>
          <w:szCs w:val="24"/>
          <w:lang w:eastAsia="zh-TW"/>
        </w:rPr>
      </w:pP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在</w:t>
      </w:r>
      <w:r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2014年，全球在</w:t>
      </w:r>
      <w:r w:rsidR="00535F2A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各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大</w:t>
      </w:r>
      <w:r w:rsidR="00535F2A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地理板塊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的經濟表現各異。美國自</w:t>
      </w:r>
      <w:r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2014年年底</w:t>
      </w:r>
      <w:r w:rsidR="006A63C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經濟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緩慢回升，並正準備於</w:t>
      </w:r>
      <w:r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2015年收緊貨幣政策;</w:t>
      </w:r>
      <w:r w:rsidR="00535F2A"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 xml:space="preserve"> 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日本</w:t>
      </w:r>
      <w:r w:rsidR="006A63C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經濟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仍低迷，</w:t>
      </w:r>
      <w:r w:rsidR="006A63C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透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過量化寬鬆政策干預</w:t>
      </w:r>
      <w:r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;</w:t>
      </w:r>
      <w:r w:rsidR="00535F2A"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 xml:space="preserve"> 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歐盟</w:t>
      </w:r>
      <w:r w:rsidR="006A63C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經濟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觸底反彈，但仍顯疲弱</w:t>
      </w:r>
      <w:r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;</w:t>
      </w:r>
      <w:r w:rsidR="00535F2A"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 xml:space="preserve"> 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中國</w:t>
      </w:r>
      <w:r w:rsidR="006A63C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經濟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趨於</w:t>
      </w:r>
      <w:r w:rsidR="00535F2A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高位橫行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，仍然有相當大的增長勢頭</w:t>
      </w:r>
      <w:r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;</w:t>
      </w:r>
      <w:r w:rsidR="00535F2A"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 xml:space="preserve"> 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油價已大幅下跌</w:t>
      </w:r>
      <w:r w:rsidR="00337980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，</w:t>
      </w:r>
      <w:r w:rsidR="00535F2A"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 xml:space="preserve"> 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俄羅斯</w:t>
      </w:r>
      <w:r w:rsidR="006A63C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經濟仍處於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危機</w:t>
      </w:r>
      <w:r w:rsidR="006A63C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之中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。</w:t>
      </w:r>
      <w:r w:rsidR="006A63C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我們保持</w:t>
      </w:r>
      <w:r w:rsidR="0098272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審</w:t>
      </w:r>
      <w:r w:rsidR="006A63C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慎態度面對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這些發展對宏觀經濟的影響，</w:t>
      </w:r>
      <w:r w:rsidR="006A63C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特別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是俄羅斯</w:t>
      </w:r>
      <w:r w:rsidR="00535F2A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局勢如何發展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。這些外部發展增添</w:t>
      </w:r>
      <w:r w:rsidR="006A63C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了</w:t>
      </w:r>
      <w:r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2015年</w:t>
      </w:r>
      <w:r w:rsidR="006A63C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香港經濟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的前景</w:t>
      </w:r>
      <w:r w:rsidR="006A63C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的不確定性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。</w:t>
      </w:r>
    </w:p>
    <w:p w14:paraId="637B63D3" w14:textId="77777777" w:rsidR="00E928B0" w:rsidRPr="003B5357" w:rsidRDefault="00E928B0" w:rsidP="00F8166B"/>
    <w:p w14:paraId="0FB17231" w14:textId="7B0D7BE9" w:rsidR="006A63C1" w:rsidRPr="003B5357" w:rsidRDefault="006A63C1" w:rsidP="006A63C1">
      <w:pPr>
        <w:pStyle w:val="a6"/>
        <w:keepLines/>
        <w:tabs>
          <w:tab w:val="left" w:pos="270"/>
        </w:tabs>
        <w:spacing w:line="320" w:lineRule="exact"/>
        <w:rPr>
          <w:rFonts w:ascii="微軟正黑體" w:eastAsia="微軟正黑體" w:hAnsi="微軟正黑體"/>
          <w:spacing w:val="20"/>
          <w:sz w:val="24"/>
          <w:szCs w:val="24"/>
          <w:lang w:eastAsia="zh-TW"/>
        </w:rPr>
      </w:pP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美國</w:t>
      </w:r>
      <w:r w:rsidR="00970FC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強勁的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經濟復甦增加了提高目標利率</w:t>
      </w:r>
      <w:r w:rsidR="00970FC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的機會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，因</w:t>
      </w:r>
      <w:r w:rsidR="00970FC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而造就了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近期</w:t>
      </w:r>
      <w:r w:rsidR="00B737B4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的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美元</w:t>
      </w:r>
      <w:r w:rsidR="00970FC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強勢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。我們的外部需求可能會從美國經濟復甦中獲益，但</w:t>
      </w:r>
      <w:r w:rsidR="00970FC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也因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美元升值</w:t>
      </w:r>
      <w:r w:rsidR="00970FC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受損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。</w:t>
      </w:r>
      <w:r w:rsidR="00970FC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兩者</w:t>
      </w:r>
      <w:r w:rsidR="0098272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影響</w:t>
      </w:r>
      <w:r w:rsidR="00970FC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相互抵消後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，我們預計</w:t>
      </w:r>
      <w:r w:rsidR="00970FC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香港經濟仍會從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美國因素的外部需求</w:t>
      </w:r>
      <w:r w:rsidR="00970FC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中獲益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。</w:t>
      </w:r>
    </w:p>
    <w:p w14:paraId="257681CB" w14:textId="77777777" w:rsidR="006A63C1" w:rsidRPr="003B5357" w:rsidRDefault="006A63C1" w:rsidP="00F8166B"/>
    <w:p w14:paraId="4E5E00DE" w14:textId="77777777" w:rsidR="00970FCD" w:rsidRPr="003B5357" w:rsidRDefault="00970FCD" w:rsidP="00970FCD">
      <w:pPr>
        <w:pStyle w:val="a6"/>
        <w:keepLines/>
        <w:tabs>
          <w:tab w:val="left" w:pos="270"/>
        </w:tabs>
        <w:spacing w:line="320" w:lineRule="exact"/>
        <w:rPr>
          <w:rFonts w:ascii="微軟正黑體" w:eastAsia="微軟正黑體" w:hAnsi="微軟正黑體"/>
          <w:spacing w:val="20"/>
          <w:sz w:val="24"/>
          <w:szCs w:val="24"/>
          <w:lang w:eastAsia="zh-TW"/>
        </w:rPr>
      </w:pP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與此同時，美元升值也將有助於限制</w:t>
      </w:r>
      <w:r w:rsidR="00B6380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輸入性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通脹。然而，</w:t>
      </w:r>
      <w:r w:rsidR="00B737B4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這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可能需要一段時間才能表現出來。</w:t>
      </w:r>
    </w:p>
    <w:p w14:paraId="0754205D" w14:textId="77777777" w:rsidR="00970FCD" w:rsidRPr="003B5357" w:rsidRDefault="00970FCD" w:rsidP="00F8166B"/>
    <w:p w14:paraId="416A4FD9" w14:textId="5D41779C" w:rsidR="00970FCD" w:rsidRPr="003B5357" w:rsidRDefault="00970FCD" w:rsidP="00970FCD">
      <w:pPr>
        <w:pStyle w:val="a6"/>
        <w:keepLines/>
        <w:tabs>
          <w:tab w:val="left" w:pos="270"/>
        </w:tabs>
        <w:spacing w:line="320" w:lineRule="exact"/>
        <w:rPr>
          <w:rFonts w:ascii="微軟正黑體" w:eastAsia="微軟正黑體" w:hAnsi="微軟正黑體"/>
          <w:spacing w:val="20"/>
          <w:sz w:val="24"/>
          <w:szCs w:val="24"/>
          <w:lang w:eastAsia="zh-TW"/>
        </w:rPr>
      </w:pP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儘管預期持續名義工資增長，</w:t>
      </w:r>
      <w:r w:rsidR="004813CB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但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通脹</w:t>
      </w:r>
      <w:r w:rsidR="004813CB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已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抵消</w:t>
      </w:r>
      <w:r w:rsidR="004813CB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了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部分</w:t>
      </w:r>
      <w:r w:rsidR="004813CB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增長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，因</w:t>
      </w:r>
      <w:r w:rsidR="004813CB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而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限制了實</w:t>
      </w:r>
      <w:r w:rsidR="009163E3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質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工資的增長</w:t>
      </w:r>
      <w:r w:rsidR="004813CB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幅度，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從而</w:t>
      </w:r>
      <w:r w:rsidR="004813CB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影響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購買力。事實上，我們已看到</w:t>
      </w:r>
      <w:r w:rsidR="004813CB"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2014年第三季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實</w:t>
      </w:r>
      <w:r w:rsidR="009163E3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質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工資增長</w:t>
      </w:r>
      <w:r w:rsidR="004D5AFC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出現</w:t>
      </w:r>
      <w:r w:rsidR="004813CB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負值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，而且這情況很可能會持續幾個季度。實</w:t>
      </w:r>
      <w:r w:rsidR="009163E3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質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工資</w:t>
      </w:r>
      <w:r w:rsidR="004D5AFC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負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增長，</w:t>
      </w:r>
      <w:r w:rsidR="004813CB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導致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購買力下降</w:t>
      </w:r>
      <w:r w:rsidR="004813CB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，從而可能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限制個人消費</w:t>
      </w:r>
      <w:r w:rsidR="004D5AFC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開支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的增長。</w:t>
      </w:r>
    </w:p>
    <w:p w14:paraId="26861D49" w14:textId="77777777" w:rsidR="00970FCD" w:rsidRPr="003B5357" w:rsidRDefault="00970FCD" w:rsidP="00F8166B"/>
    <w:p w14:paraId="021E511D" w14:textId="77777777" w:rsidR="004813CB" w:rsidRPr="003B5357" w:rsidRDefault="004813CB" w:rsidP="004813CB">
      <w:pPr>
        <w:pStyle w:val="a6"/>
        <w:keepLines/>
        <w:tabs>
          <w:tab w:val="left" w:pos="270"/>
        </w:tabs>
        <w:spacing w:line="320" w:lineRule="exact"/>
        <w:rPr>
          <w:rFonts w:ascii="微軟正黑體" w:eastAsia="微軟正黑體" w:hAnsi="微軟正黑體"/>
          <w:spacing w:val="20"/>
          <w:sz w:val="24"/>
          <w:szCs w:val="24"/>
          <w:lang w:eastAsia="zh-TW"/>
        </w:rPr>
      </w:pP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美國在</w:t>
      </w:r>
      <w:r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2015年上半年調升利率目標的機會是高的，</w:t>
      </w:r>
      <w:r w:rsidR="00A654CD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調整的步伐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可能是小而不經常。因此，我們預計私人消費和資本形成，繼續可從低利率環境中受惠。</w:t>
      </w:r>
    </w:p>
    <w:p w14:paraId="601A85F9" w14:textId="77777777" w:rsidR="004813CB" w:rsidRPr="003B5357" w:rsidRDefault="004813CB" w:rsidP="00F8166B"/>
    <w:p w14:paraId="04B99C1D" w14:textId="7C9D38BC" w:rsidR="006963B4" w:rsidRPr="006A26D4" w:rsidRDefault="00803328" w:rsidP="006A26D4">
      <w:pPr>
        <w:pStyle w:val="a6"/>
        <w:keepLines/>
        <w:tabs>
          <w:tab w:val="left" w:pos="270"/>
        </w:tabs>
        <w:spacing w:line="320" w:lineRule="exact"/>
        <w:rPr>
          <w:rFonts w:ascii="微軟正黑體" w:eastAsia="微軟正黑體" w:hAnsi="微軟正黑體"/>
          <w:spacing w:val="20"/>
          <w:sz w:val="24"/>
          <w:szCs w:val="24"/>
          <w:lang w:eastAsia="zh-TW"/>
        </w:rPr>
      </w:pP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評估所有這些因素，我們可預期香港在</w:t>
      </w:r>
      <w:r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2015年將維持適度的經濟增長，主要由樂觀的本地需求所支持。預計香港在2015年實質GDP增長達到2.9％，</w:t>
      </w:r>
      <w:r w:rsidR="004D5AFC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幅度</w:t>
      </w:r>
      <w:r w:rsidR="0005297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在</w:t>
      </w:r>
      <w:r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2.3％</w:t>
      </w:r>
      <w:r w:rsidR="0005297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至</w:t>
      </w:r>
      <w:r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3.3％</w:t>
      </w:r>
      <w:r w:rsidR="0005297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之範圍內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，</w:t>
      </w:r>
      <w:r w:rsidR="0005297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略高於</w:t>
      </w:r>
      <w:r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2014年預計</w:t>
      </w:r>
      <w:r w:rsidR="0005297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的</w:t>
      </w:r>
      <w:r w:rsidRPr="003B5357">
        <w:rPr>
          <w:rFonts w:ascii="微軟正黑體" w:eastAsia="微軟正黑體" w:hAnsi="微軟正黑體"/>
          <w:spacing w:val="20"/>
          <w:sz w:val="24"/>
          <w:szCs w:val="24"/>
          <w:lang w:eastAsia="zh-TW"/>
        </w:rPr>
        <w:t>2.4％</w:t>
      </w:r>
      <w:r w:rsidR="00052971"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增長</w:t>
      </w:r>
      <w:r w:rsidRPr="003B5357">
        <w:rPr>
          <w:rFonts w:ascii="微軟正黑體" w:eastAsia="微軟正黑體" w:hAnsi="微軟正黑體" w:hint="eastAsia"/>
          <w:spacing w:val="20"/>
          <w:sz w:val="24"/>
          <w:szCs w:val="24"/>
          <w:lang w:eastAsia="zh-TW"/>
        </w:rPr>
        <w:t>。</w:t>
      </w:r>
      <w:r w:rsidR="00B34D5D" w:rsidRPr="00276C2F">
        <w:rPr>
          <w:sz w:val="24"/>
          <w:szCs w:val="24"/>
          <w:lang w:eastAsia="zh-TW"/>
        </w:rPr>
        <w:br w:type="page"/>
      </w:r>
      <w:r w:rsidR="006963B4" w:rsidRPr="00276C2F">
        <w:rPr>
          <w:rFonts w:ascii="Tahoma" w:eastAsia="微軟正黑體" w:hAnsi="Tahoma" w:hint="eastAsia"/>
          <w:b/>
          <w:color w:val="000000"/>
          <w:sz w:val="28"/>
          <w:szCs w:val="28"/>
          <w:lang w:eastAsia="zh-TW"/>
        </w:rPr>
        <w:lastRenderedPageBreak/>
        <w:t>「香港宏觀經濟預測」簡介</w:t>
      </w:r>
    </w:p>
    <w:p w14:paraId="5FA6B649" w14:textId="77777777" w:rsidR="006963B4" w:rsidRPr="003B5357" w:rsidRDefault="006963B4" w:rsidP="006963B4">
      <w:pPr>
        <w:pStyle w:val="a6"/>
        <w:spacing w:line="320" w:lineRule="exact"/>
        <w:rPr>
          <w:rFonts w:ascii="Tahoma" w:eastAsia="微軟正黑體" w:hAnsi="Tahoma" w:cs="Times New Roman"/>
          <w:color w:val="000000"/>
          <w:sz w:val="24"/>
          <w:szCs w:val="24"/>
          <w:lang w:eastAsia="zh-TW"/>
        </w:rPr>
      </w:pPr>
    </w:p>
    <w:p w14:paraId="19ABFFBD" w14:textId="77777777" w:rsidR="006963B4" w:rsidRPr="00426FA2" w:rsidRDefault="006963B4" w:rsidP="006963B4">
      <w:pPr>
        <w:pStyle w:val="a6"/>
        <w:keepLines/>
        <w:spacing w:line="320" w:lineRule="exact"/>
        <w:ind w:left="142"/>
        <w:rPr>
          <w:rFonts w:ascii="Tahoma" w:eastAsia="微軟正黑體" w:hAnsi="Tahoma" w:cs="Times New Roman"/>
          <w:color w:val="000000"/>
          <w:spacing w:val="20"/>
          <w:sz w:val="24"/>
          <w:szCs w:val="24"/>
          <w:lang w:eastAsia="zh-TW"/>
        </w:rPr>
      </w:pPr>
      <w:r w:rsidRPr="00AF6B3E">
        <w:rPr>
          <w:rFonts w:ascii="Tahoma" w:eastAsia="微軟正黑體" w:hAnsi="Tahoma" w:cs="Times New Roman" w:hint="eastAsia"/>
          <w:color w:val="000000"/>
          <w:spacing w:val="20"/>
          <w:sz w:val="24"/>
          <w:szCs w:val="24"/>
          <w:lang w:eastAsia="zh-TW"/>
        </w:rPr>
        <w:t>「香港宏觀經濟預測」是由香港大學</w:t>
      </w:r>
      <w:r w:rsidRPr="00AF6B3E">
        <w:rPr>
          <w:rFonts w:ascii="Tahoma" w:eastAsia="微軟正黑體" w:hAnsi="Tahoma" w:hint="eastAsia"/>
          <w:color w:val="000000"/>
          <w:spacing w:val="20"/>
          <w:sz w:val="24"/>
          <w:szCs w:val="24"/>
          <w:lang w:eastAsia="zh-TW"/>
        </w:rPr>
        <w:t>香港經濟及商業策略研究所亞太經濟合作研究項目</w:t>
      </w:r>
      <w:r w:rsidRPr="00426FA2">
        <w:rPr>
          <w:rFonts w:ascii="Tahoma" w:eastAsia="微軟正黑體" w:hAnsi="Tahoma" w:cs="Times New Roman" w:hint="eastAsia"/>
          <w:color w:val="000000"/>
          <w:spacing w:val="20"/>
          <w:sz w:val="24"/>
          <w:szCs w:val="24"/>
          <w:lang w:eastAsia="zh-TW"/>
        </w:rPr>
        <w:t>負責研究及有關工作，旨在為社會提供及時及有用的數據，以追蹤及預測短期的經濟波動。這個宏觀經濟預測，自一九九九年起每季定時發表。</w:t>
      </w:r>
    </w:p>
    <w:p w14:paraId="767EBABE" w14:textId="77777777" w:rsidR="006963B4" w:rsidRPr="00B737B4" w:rsidRDefault="006963B4" w:rsidP="006963B4">
      <w:pPr>
        <w:pStyle w:val="a6"/>
        <w:keepLines/>
        <w:spacing w:line="320" w:lineRule="exact"/>
        <w:ind w:left="142"/>
        <w:rPr>
          <w:rFonts w:ascii="Tahoma" w:eastAsia="微軟正黑體" w:hAnsi="Tahoma" w:cs="Times New Roman"/>
          <w:b/>
          <w:color w:val="000000"/>
          <w:spacing w:val="20"/>
          <w:sz w:val="24"/>
          <w:szCs w:val="24"/>
          <w:lang w:eastAsia="zh-TW"/>
        </w:rPr>
      </w:pPr>
    </w:p>
    <w:p w14:paraId="76CEF6FE" w14:textId="77777777" w:rsidR="006963B4" w:rsidRPr="007E755A" w:rsidRDefault="006963B4" w:rsidP="006963B4">
      <w:pPr>
        <w:pStyle w:val="a6"/>
        <w:keepLines/>
        <w:spacing w:line="320" w:lineRule="exact"/>
        <w:ind w:left="142"/>
        <w:rPr>
          <w:rFonts w:ascii="Tahoma" w:eastAsia="微軟正黑體" w:hAnsi="Tahoma" w:cs="Times New Roman"/>
          <w:color w:val="000000"/>
          <w:spacing w:val="20"/>
          <w:sz w:val="24"/>
          <w:szCs w:val="24"/>
          <w:lang w:eastAsia="zh-TW"/>
        </w:rPr>
      </w:pPr>
      <w:r w:rsidRPr="007E755A">
        <w:rPr>
          <w:rFonts w:ascii="Tahoma" w:eastAsia="微軟正黑體" w:hAnsi="Tahoma" w:cs="Times New Roman" w:hint="eastAsia"/>
          <w:color w:val="000000"/>
          <w:spacing w:val="20"/>
          <w:sz w:val="24"/>
          <w:szCs w:val="24"/>
          <w:lang w:eastAsia="zh-TW"/>
        </w:rPr>
        <w:t>上述研究結果乃採用「高頻」宏觀經濟預測系統而得出。該系統於</w:t>
      </w:r>
      <w:r w:rsidRPr="007E755A">
        <w:rPr>
          <w:rFonts w:ascii="Tahoma" w:eastAsia="微軟正黑體" w:hAnsi="Tahoma" w:cs="Times New Roman"/>
          <w:color w:val="000000"/>
          <w:spacing w:val="20"/>
          <w:sz w:val="24"/>
          <w:szCs w:val="24"/>
          <w:lang w:eastAsia="zh-TW"/>
        </w:rPr>
        <w:t>1999-2000</w:t>
      </w:r>
      <w:r w:rsidRPr="007E755A">
        <w:rPr>
          <w:rFonts w:ascii="Tahoma" w:eastAsia="微軟正黑體" w:hAnsi="Tahoma" w:cs="Times New Roman" w:hint="eastAsia"/>
          <w:color w:val="000000"/>
          <w:spacing w:val="20"/>
          <w:sz w:val="24"/>
          <w:szCs w:val="24"/>
          <w:lang w:eastAsia="zh-TW"/>
        </w:rPr>
        <w:t>年，由香港大學亞太經濟合作研究中心與美國賓夕凡尼亞大學</w:t>
      </w:r>
      <w:r w:rsidRPr="007E755A">
        <w:rPr>
          <w:rFonts w:ascii="Tahoma" w:eastAsia="微軟正黑體" w:hAnsi="Tahoma" w:cs="Times New Roman"/>
          <w:color w:val="000000"/>
          <w:spacing w:val="20"/>
          <w:sz w:val="24"/>
          <w:szCs w:val="24"/>
          <w:lang w:eastAsia="zh-TW"/>
        </w:rPr>
        <w:t xml:space="preserve"> Professor Lawrence Klein</w:t>
      </w:r>
      <w:r w:rsidRPr="007E755A">
        <w:rPr>
          <w:rFonts w:ascii="Tahoma" w:eastAsia="微軟正黑體" w:hAnsi="Tahoma" w:cs="Times New Roman" w:hint="eastAsia"/>
          <w:color w:val="000000"/>
          <w:spacing w:val="20"/>
          <w:sz w:val="24"/>
          <w:szCs w:val="24"/>
          <w:lang w:eastAsia="zh-TW"/>
        </w:rPr>
        <w:t>共同研發。其後，亞洲經濟合作研究中心將系統再加改良，現時是</w:t>
      </w:r>
      <w:r w:rsidRPr="007E755A">
        <w:rPr>
          <w:rFonts w:ascii="Tahoma" w:eastAsia="微軟正黑體" w:hAnsi="Tahoma" w:hint="eastAsia"/>
          <w:color w:val="000000"/>
          <w:spacing w:val="20"/>
          <w:sz w:val="24"/>
          <w:szCs w:val="24"/>
          <w:lang w:eastAsia="zh-TW"/>
        </w:rPr>
        <w:t>香港經濟及商業策略研究所的研究項目。</w:t>
      </w:r>
    </w:p>
    <w:p w14:paraId="7CE664BB" w14:textId="77777777" w:rsidR="006963B4" w:rsidRPr="007E755A" w:rsidRDefault="006963B4" w:rsidP="006963B4">
      <w:pPr>
        <w:pStyle w:val="a6"/>
        <w:keepLines/>
        <w:spacing w:line="320" w:lineRule="exact"/>
        <w:ind w:left="142"/>
        <w:rPr>
          <w:rFonts w:ascii="Tahoma" w:eastAsia="微軟正黑體" w:hAnsi="Tahoma" w:cs="Times New Roman"/>
          <w:color w:val="000000"/>
          <w:spacing w:val="20"/>
          <w:sz w:val="24"/>
          <w:szCs w:val="24"/>
          <w:lang w:eastAsia="zh-TW"/>
        </w:rPr>
      </w:pPr>
    </w:p>
    <w:p w14:paraId="0EBD01B0" w14:textId="01CA9F31" w:rsidR="006963B4" w:rsidRPr="00F62971" w:rsidRDefault="00695EAE" w:rsidP="00F62971">
      <w:pPr>
        <w:pStyle w:val="a6"/>
        <w:keepLines/>
        <w:spacing w:line="320" w:lineRule="exact"/>
        <w:ind w:left="142"/>
        <w:rPr>
          <w:rFonts w:ascii="Tahoma" w:eastAsia="微軟正黑體" w:hAnsi="Tahoma" w:cs="Times New Roman"/>
          <w:color w:val="000000"/>
          <w:spacing w:val="20"/>
          <w:sz w:val="24"/>
          <w:szCs w:val="24"/>
          <w:lang w:eastAsia="zh-TW"/>
        </w:rPr>
      </w:pPr>
      <w:r w:rsidRPr="007E755A">
        <w:rPr>
          <w:rFonts w:ascii="Tahoma" w:eastAsia="微軟正黑體" w:hAnsi="Tahoma" w:cs="Times New Roman" w:hint="eastAsia"/>
          <w:color w:val="000000"/>
          <w:spacing w:val="20"/>
          <w:sz w:val="24"/>
          <w:szCs w:val="24"/>
          <w:lang w:eastAsia="zh-TW"/>
        </w:rPr>
        <w:t>該項目由經濟金融學院資助，由香港大學首席講師王家富博士領導。</w:t>
      </w:r>
      <w:r w:rsidR="006963B4" w:rsidRPr="007E755A">
        <w:rPr>
          <w:rFonts w:ascii="Tahoma" w:eastAsia="微軟正黑體" w:hAnsi="Tahoma" w:cs="Times New Roman" w:hint="eastAsia"/>
          <w:color w:val="000000"/>
          <w:spacing w:val="20"/>
          <w:sz w:val="24"/>
          <w:szCs w:val="24"/>
          <w:lang w:eastAsia="zh-TW"/>
        </w:rPr>
        <w:t>這項計劃現由香港大學經濟及工商管理學院贊助，港大香港經濟研究中心則提供行政上的支援，港大</w:t>
      </w:r>
      <w:r w:rsidR="006963B4" w:rsidRPr="007E755A">
        <w:rPr>
          <w:rFonts w:ascii="Tahoma" w:eastAsia="微軟正黑體" w:hAnsi="Tahoma" w:hint="eastAsia"/>
          <w:color w:val="000000"/>
          <w:spacing w:val="20"/>
          <w:sz w:val="24"/>
          <w:szCs w:val="24"/>
          <w:lang w:eastAsia="zh-TW"/>
        </w:rPr>
        <w:t>香港經濟及商業策略研究所</w:t>
      </w:r>
      <w:r w:rsidR="006963B4" w:rsidRPr="00276C2F">
        <w:rPr>
          <w:rFonts w:ascii="Tahoma" w:eastAsia="微軟正黑體" w:hAnsi="Tahoma" w:cs="Times New Roman" w:hint="eastAsia"/>
          <w:color w:val="000000"/>
          <w:spacing w:val="20"/>
          <w:sz w:val="24"/>
          <w:szCs w:val="24"/>
          <w:lang w:eastAsia="zh-TW"/>
        </w:rPr>
        <w:t>負責所有的研究工作、數據闡釋及確保它們的準確性。如欲查閱每季的經濟預測，可隨時瀏覽以下網頁</w:t>
      </w:r>
      <w:r w:rsidR="006963B4" w:rsidRPr="00276C2F">
        <w:rPr>
          <w:rFonts w:ascii="Tahoma" w:eastAsia="微軟正黑體" w:hAnsi="Tahoma" w:cs="Times New Roman"/>
          <w:color w:val="000000"/>
          <w:spacing w:val="20"/>
          <w:sz w:val="24"/>
          <w:szCs w:val="24"/>
          <w:lang w:eastAsia="zh-TW"/>
        </w:rPr>
        <w:t>:</w:t>
      </w:r>
      <w:r w:rsidR="00F62971">
        <w:rPr>
          <w:rFonts w:ascii="Tahoma" w:eastAsia="微軟正黑體" w:hAnsi="Tahoma" w:cs="Times New Roman" w:hint="eastAsia"/>
          <w:color w:val="000000"/>
          <w:spacing w:val="20"/>
          <w:sz w:val="24"/>
          <w:szCs w:val="24"/>
          <w:lang w:eastAsia="zh-TW"/>
        </w:rPr>
        <w:t xml:space="preserve"> </w:t>
      </w:r>
      <w:r w:rsidR="006963B4" w:rsidRPr="00A80DD6">
        <w:rPr>
          <w:rFonts w:ascii="Tahoma" w:eastAsia="微軟正黑體" w:hAnsi="Tahoma" w:cs="Times New Roman"/>
          <w:color w:val="000000"/>
          <w:spacing w:val="20"/>
          <w:sz w:val="24"/>
          <w:lang w:eastAsia="zh-TW"/>
        </w:rPr>
        <w:t>http://www.</w:t>
      </w:r>
      <w:r w:rsidR="006963B4" w:rsidRPr="00A80DD6">
        <w:rPr>
          <w:rFonts w:ascii="Tahoma" w:eastAsia="微軟正黑體" w:hAnsi="Tahoma" w:cs="Times New Roman" w:hint="eastAsia"/>
          <w:color w:val="000000"/>
          <w:spacing w:val="20"/>
          <w:sz w:val="24"/>
          <w:lang w:eastAsia="zh-TW"/>
        </w:rPr>
        <w:t>hiebs.</w:t>
      </w:r>
      <w:r w:rsidR="006963B4" w:rsidRPr="00A80DD6">
        <w:rPr>
          <w:rFonts w:ascii="Tahoma" w:eastAsia="微軟正黑體" w:hAnsi="Tahoma" w:cs="Times New Roman"/>
          <w:color w:val="000000"/>
          <w:spacing w:val="20"/>
          <w:sz w:val="24"/>
          <w:lang w:eastAsia="zh-TW"/>
        </w:rPr>
        <w:t>hku.hk/apec/</w:t>
      </w:r>
      <w:r w:rsidR="006963B4" w:rsidRPr="00A80DD6">
        <w:rPr>
          <w:rFonts w:ascii="Tahoma" w:eastAsia="微軟正黑體" w:hAnsi="Tahoma" w:cs="Times New Roman" w:hint="eastAsia"/>
          <w:color w:val="000000"/>
          <w:spacing w:val="20"/>
          <w:sz w:val="24"/>
          <w:lang w:eastAsia="zh-TW"/>
        </w:rPr>
        <w:t>macroforecast.htm</w:t>
      </w:r>
    </w:p>
    <w:p w14:paraId="03F6785C" w14:textId="77777777" w:rsidR="006963B4" w:rsidRDefault="006963B4" w:rsidP="006963B4">
      <w:pPr>
        <w:spacing w:line="0" w:lineRule="atLeast"/>
        <w:rPr>
          <w:rFonts w:eastAsia="微軟正黑體"/>
          <w:b/>
          <w:color w:val="000000"/>
        </w:rPr>
      </w:pPr>
    </w:p>
    <w:p w14:paraId="7D8EEA82" w14:textId="77777777" w:rsidR="00695EAE" w:rsidRPr="00F62971" w:rsidRDefault="00695EAE" w:rsidP="006963B4">
      <w:pPr>
        <w:spacing w:line="0" w:lineRule="atLeast"/>
        <w:rPr>
          <w:rFonts w:eastAsia="微軟正黑體"/>
          <w:b/>
          <w:color w:val="000000"/>
        </w:rPr>
      </w:pPr>
    </w:p>
    <w:p w14:paraId="7C7366B1" w14:textId="67E55D82" w:rsidR="00695EAE" w:rsidRPr="00854EFF" w:rsidRDefault="00A82DE7" w:rsidP="00854EFF">
      <w:pPr>
        <w:spacing w:line="0" w:lineRule="atLeast"/>
        <w:rPr>
          <w:rFonts w:ascii="微軟正黑體" w:eastAsia="微軟正黑體" w:hAnsi="微軟正黑體"/>
          <w:color w:val="000000"/>
        </w:rPr>
      </w:pPr>
      <w:r w:rsidRPr="00854EFF">
        <w:rPr>
          <w:rFonts w:ascii="微軟正黑體" w:eastAsia="微軟正黑體" w:hAnsi="微軟正黑體" w:cs="Tahoma" w:hint="eastAsia"/>
          <w:kern w:val="0"/>
        </w:rPr>
        <w:t>傳媒</w:t>
      </w:r>
      <w:r w:rsidR="00C20725" w:rsidRPr="00854EFF">
        <w:rPr>
          <w:rFonts w:ascii="微軟正黑體" w:eastAsia="微軟正黑體" w:hAnsi="微軟正黑體" w:cs="Tahoma"/>
          <w:kern w:val="0"/>
        </w:rPr>
        <w:t>查詢</w:t>
      </w:r>
      <w:r w:rsidRPr="00854EFF">
        <w:rPr>
          <w:rFonts w:ascii="微軟正黑體" w:eastAsia="微軟正黑體" w:hAnsi="微軟正黑體" w:cs="Tahoma" w:hint="eastAsia"/>
          <w:kern w:val="0"/>
        </w:rPr>
        <w:t>，請聯絡</w:t>
      </w:r>
      <w:r w:rsidR="00C20725" w:rsidRPr="00854EFF">
        <w:rPr>
          <w:rFonts w:ascii="微軟正黑體" w:eastAsia="微軟正黑體" w:hAnsi="微軟正黑體" w:cs="Tahoma" w:hint="eastAsia"/>
          <w:kern w:val="0"/>
        </w:rPr>
        <w:t>香港大學香港經濟及商業策略研究所</w:t>
      </w:r>
      <w:r w:rsidRPr="00854EFF">
        <w:rPr>
          <w:rFonts w:ascii="微軟正黑體" w:eastAsia="微軟正黑體" w:hAnsi="微軟正黑體" w:cs="Tahoma" w:hint="eastAsia"/>
          <w:kern w:val="0"/>
        </w:rPr>
        <w:t>，</w:t>
      </w:r>
      <w:r w:rsidR="00C20725" w:rsidRPr="00854EFF">
        <w:rPr>
          <w:rFonts w:ascii="微軟正黑體" w:eastAsia="微軟正黑體" w:hAnsi="微軟正黑體" w:hint="eastAsia"/>
          <w:color w:val="000000"/>
        </w:rPr>
        <w:t>電話︰</w:t>
      </w:r>
      <w:r w:rsidR="00C20725" w:rsidRPr="00854EFF">
        <w:rPr>
          <w:rFonts w:ascii="微軟正黑體" w:eastAsia="微軟正黑體" w:hAnsi="微軟正黑體"/>
        </w:rPr>
        <w:t>2548</w:t>
      </w:r>
      <w:r w:rsidR="00C20725" w:rsidRPr="00854EFF">
        <w:rPr>
          <w:rFonts w:ascii="微軟正黑體" w:eastAsia="微軟正黑體" w:hAnsi="微軟正黑體" w:hint="eastAsia"/>
        </w:rPr>
        <w:t xml:space="preserve"> </w:t>
      </w:r>
      <w:r w:rsidR="00C20725" w:rsidRPr="00854EFF">
        <w:rPr>
          <w:rFonts w:ascii="微軟正黑體" w:eastAsia="微軟正黑體" w:hAnsi="微軟正黑體"/>
        </w:rPr>
        <w:t>9300</w:t>
      </w:r>
      <w:r w:rsidRPr="00854EFF">
        <w:rPr>
          <w:rFonts w:ascii="微軟正黑體" w:eastAsia="微軟正黑體" w:hAnsi="微軟正黑體" w:hint="eastAsia"/>
        </w:rPr>
        <w:t>，</w:t>
      </w:r>
      <w:r w:rsidR="00C20725" w:rsidRPr="00854EFF">
        <w:rPr>
          <w:rFonts w:ascii="微軟正黑體" w:eastAsia="微軟正黑體" w:hAnsi="微軟正黑體"/>
          <w:color w:val="000000"/>
        </w:rPr>
        <w:t>電郵︰</w:t>
      </w:r>
      <w:r w:rsidR="00C20725" w:rsidRPr="00854EFF">
        <w:rPr>
          <w:rFonts w:ascii="微軟正黑體" w:eastAsia="微軟正黑體" w:hAnsi="微軟正黑體" w:cs="Tahoma"/>
          <w:kern w:val="0"/>
        </w:rPr>
        <w:t xml:space="preserve"> </w:t>
      </w:r>
      <w:hyperlink r:id="rId21" w:history="1">
        <w:r w:rsidR="00C20725" w:rsidRPr="00854EFF">
          <w:rPr>
            <w:rStyle w:val="a9"/>
            <w:rFonts w:ascii="微軟正黑體" w:eastAsia="微軟正黑體" w:hAnsi="微軟正黑體" w:cs="Tahoma"/>
            <w:kern w:val="0"/>
          </w:rPr>
          <w:t>info@hiebs.hku.hk</w:t>
        </w:r>
      </w:hyperlink>
      <w:r w:rsidRPr="00854EFF">
        <w:rPr>
          <w:rStyle w:val="a9"/>
          <w:rFonts w:ascii="微軟正黑體" w:eastAsia="微軟正黑體" w:hAnsi="微軟正黑體" w:cs="Tahoma" w:hint="eastAsia"/>
          <w:kern w:val="0"/>
          <w:u w:val="none"/>
        </w:rPr>
        <w:t>。</w:t>
      </w:r>
    </w:p>
    <w:p w14:paraId="7237A01D" w14:textId="77777777" w:rsidR="006963B4" w:rsidRPr="00854EFF" w:rsidRDefault="006963B4" w:rsidP="00854EFF">
      <w:pPr>
        <w:rPr>
          <w:rFonts w:ascii="微軟正黑體" w:eastAsia="微軟正黑體" w:hAnsi="微軟正黑體"/>
        </w:rPr>
      </w:pPr>
    </w:p>
    <w:p w14:paraId="5B0676A3" w14:textId="77777777" w:rsidR="00754D18" w:rsidRPr="00854EFF" w:rsidRDefault="00754D18" w:rsidP="00854EFF">
      <w:pPr>
        <w:rPr>
          <w:rFonts w:ascii="微軟正黑體" w:eastAsia="微軟正黑體" w:hAnsi="微軟正黑體"/>
        </w:rPr>
      </w:pPr>
    </w:p>
    <w:p w14:paraId="22024008" w14:textId="77777777" w:rsidR="006963B4" w:rsidRDefault="006963B4" w:rsidP="00F8166B">
      <w:pPr>
        <w:rPr>
          <w:rFonts w:ascii="微軟正黑體" w:eastAsia="微軟正黑體" w:hAnsi="微軟正黑體"/>
          <w:b/>
          <w:color w:val="000000"/>
        </w:rPr>
      </w:pPr>
    </w:p>
    <w:p w14:paraId="4B5F2D33" w14:textId="77777777" w:rsidR="006963B4" w:rsidRDefault="006963B4" w:rsidP="00F8166B">
      <w:pPr>
        <w:rPr>
          <w:rFonts w:ascii="微軟正黑體" w:eastAsia="微軟正黑體" w:hAnsi="微軟正黑體"/>
          <w:b/>
          <w:color w:val="000000"/>
        </w:rPr>
      </w:pPr>
    </w:p>
    <w:p w14:paraId="1D55E382" w14:textId="77777777" w:rsidR="006963B4" w:rsidRPr="006963B4" w:rsidRDefault="006963B4" w:rsidP="00F8166B">
      <w:pPr>
        <w:rPr>
          <w:rFonts w:ascii="微軟正黑體" w:eastAsia="微軟正黑體" w:hAnsi="微軟正黑體"/>
        </w:rPr>
      </w:pPr>
    </w:p>
    <w:p w14:paraId="0305ADE0" w14:textId="77777777" w:rsidR="008B735F" w:rsidRDefault="00D17B59" w:rsidP="00D17B59">
      <w:pPr>
        <w:pStyle w:val="1"/>
      </w:pPr>
      <w:r>
        <w:t xml:space="preserve"> </w:t>
      </w:r>
    </w:p>
    <w:p w14:paraId="0BEC0DF8" w14:textId="77777777" w:rsidR="00417ABE" w:rsidRPr="00F8166B" w:rsidRDefault="00417ABE" w:rsidP="008B735F">
      <w:pPr>
        <w:pStyle w:val="1"/>
      </w:pPr>
    </w:p>
    <w:sectPr w:rsidR="00417ABE" w:rsidRPr="00F8166B" w:rsidSect="007C22E0">
      <w:footerReference w:type="even" r:id="rId22"/>
      <w:footerReference w:type="default" r:id="rId23"/>
      <w:type w:val="continuous"/>
      <w:pgSz w:w="11906" w:h="16838" w:code="9"/>
      <w:pgMar w:top="540" w:right="1466" w:bottom="810" w:left="144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08CCAA" w14:textId="77777777" w:rsidR="00F97B52" w:rsidRDefault="00F97B52">
      <w:r>
        <w:separator/>
      </w:r>
    </w:p>
  </w:endnote>
  <w:endnote w:type="continuationSeparator" w:id="0">
    <w:p w14:paraId="666D57AF" w14:textId="77777777" w:rsidR="00F97B52" w:rsidRDefault="00F9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軟正黑體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ED068" w14:textId="77777777" w:rsidR="00803328" w:rsidRDefault="00803328" w:rsidP="002706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14:paraId="209DFDF9" w14:textId="77777777" w:rsidR="00803328" w:rsidRDefault="0080332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2E8A1E" w14:textId="77777777" w:rsidR="00803328" w:rsidRDefault="00803328" w:rsidP="0027063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6065D">
      <w:rPr>
        <w:rStyle w:val="a5"/>
        <w:noProof/>
      </w:rPr>
      <w:t>3</w:t>
    </w:r>
    <w:r>
      <w:rPr>
        <w:rStyle w:val="a5"/>
      </w:rPr>
      <w:fldChar w:fldCharType="end"/>
    </w:r>
  </w:p>
  <w:p w14:paraId="44758D3F" w14:textId="77777777" w:rsidR="00803328" w:rsidRDefault="0080332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14B074" w14:textId="77777777" w:rsidR="00F97B52" w:rsidRDefault="00F97B52">
      <w:r>
        <w:separator/>
      </w:r>
    </w:p>
  </w:footnote>
  <w:footnote w:type="continuationSeparator" w:id="0">
    <w:p w14:paraId="56F5CFAA" w14:textId="77777777" w:rsidR="00F97B52" w:rsidRDefault="00F97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A58AD"/>
    <w:multiLevelType w:val="hybridMultilevel"/>
    <w:tmpl w:val="5BD09B24"/>
    <w:lvl w:ilvl="0" w:tplc="61626282">
      <w:start w:val="1"/>
      <w:numFmt w:val="bullet"/>
      <w:lvlText w:val="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76572B09"/>
    <w:multiLevelType w:val="hybridMultilevel"/>
    <w:tmpl w:val="65A6EA7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1DD"/>
    <w:rsid w:val="00001FFA"/>
    <w:rsid w:val="00004CAD"/>
    <w:rsid w:val="00005FB1"/>
    <w:rsid w:val="0000678E"/>
    <w:rsid w:val="00015B30"/>
    <w:rsid w:val="0002037B"/>
    <w:rsid w:val="000216E0"/>
    <w:rsid w:val="00023727"/>
    <w:rsid w:val="00023EE0"/>
    <w:rsid w:val="000257B5"/>
    <w:rsid w:val="0004226F"/>
    <w:rsid w:val="000434D8"/>
    <w:rsid w:val="00044BB1"/>
    <w:rsid w:val="000462F5"/>
    <w:rsid w:val="00052971"/>
    <w:rsid w:val="000533AF"/>
    <w:rsid w:val="000534CC"/>
    <w:rsid w:val="000547F2"/>
    <w:rsid w:val="00061870"/>
    <w:rsid w:val="0007182D"/>
    <w:rsid w:val="00072E10"/>
    <w:rsid w:val="000756E3"/>
    <w:rsid w:val="00083193"/>
    <w:rsid w:val="000859EE"/>
    <w:rsid w:val="00091360"/>
    <w:rsid w:val="000925BD"/>
    <w:rsid w:val="000931CB"/>
    <w:rsid w:val="0009429C"/>
    <w:rsid w:val="000978B8"/>
    <w:rsid w:val="000A0FF7"/>
    <w:rsid w:val="000A2CCB"/>
    <w:rsid w:val="000A4063"/>
    <w:rsid w:val="000B0D4F"/>
    <w:rsid w:val="000B1D45"/>
    <w:rsid w:val="000B620F"/>
    <w:rsid w:val="000B6860"/>
    <w:rsid w:val="000C007F"/>
    <w:rsid w:val="000C444E"/>
    <w:rsid w:val="000C52D0"/>
    <w:rsid w:val="000C5C30"/>
    <w:rsid w:val="000D169A"/>
    <w:rsid w:val="000D3A88"/>
    <w:rsid w:val="000D4155"/>
    <w:rsid w:val="000D66EB"/>
    <w:rsid w:val="000E0016"/>
    <w:rsid w:val="000E006C"/>
    <w:rsid w:val="000E3243"/>
    <w:rsid w:val="000E3614"/>
    <w:rsid w:val="000E5B49"/>
    <w:rsid w:val="000E628A"/>
    <w:rsid w:val="000E6B6C"/>
    <w:rsid w:val="000F1829"/>
    <w:rsid w:val="000F2E6F"/>
    <w:rsid w:val="000F58EA"/>
    <w:rsid w:val="000F5DBA"/>
    <w:rsid w:val="001103BE"/>
    <w:rsid w:val="00112656"/>
    <w:rsid w:val="001128FB"/>
    <w:rsid w:val="001133F4"/>
    <w:rsid w:val="001134D4"/>
    <w:rsid w:val="00115A78"/>
    <w:rsid w:val="001161EF"/>
    <w:rsid w:val="00116730"/>
    <w:rsid w:val="00116C43"/>
    <w:rsid w:val="00121005"/>
    <w:rsid w:val="0012317D"/>
    <w:rsid w:val="00124950"/>
    <w:rsid w:val="0012608C"/>
    <w:rsid w:val="0013060A"/>
    <w:rsid w:val="00136224"/>
    <w:rsid w:val="00137CF8"/>
    <w:rsid w:val="00140ADB"/>
    <w:rsid w:val="00143CE9"/>
    <w:rsid w:val="00144562"/>
    <w:rsid w:val="00146595"/>
    <w:rsid w:val="00146755"/>
    <w:rsid w:val="00147671"/>
    <w:rsid w:val="00150CB3"/>
    <w:rsid w:val="001622E6"/>
    <w:rsid w:val="00165E8E"/>
    <w:rsid w:val="00170B8C"/>
    <w:rsid w:val="00171B98"/>
    <w:rsid w:val="00172941"/>
    <w:rsid w:val="00173460"/>
    <w:rsid w:val="00174E50"/>
    <w:rsid w:val="001759DC"/>
    <w:rsid w:val="0018210B"/>
    <w:rsid w:val="00186A14"/>
    <w:rsid w:val="00195899"/>
    <w:rsid w:val="00195D73"/>
    <w:rsid w:val="001962C8"/>
    <w:rsid w:val="001A2970"/>
    <w:rsid w:val="001A60E5"/>
    <w:rsid w:val="001B0957"/>
    <w:rsid w:val="001B3C1F"/>
    <w:rsid w:val="001B77BE"/>
    <w:rsid w:val="001B7BB7"/>
    <w:rsid w:val="001C0F9E"/>
    <w:rsid w:val="001C2C8F"/>
    <w:rsid w:val="001C3E22"/>
    <w:rsid w:val="001C60BB"/>
    <w:rsid w:val="001D4528"/>
    <w:rsid w:val="001D485F"/>
    <w:rsid w:val="001E0CC6"/>
    <w:rsid w:val="001E2D11"/>
    <w:rsid w:val="001E59EE"/>
    <w:rsid w:val="001E756C"/>
    <w:rsid w:val="001F58B1"/>
    <w:rsid w:val="001F6D9D"/>
    <w:rsid w:val="0020027F"/>
    <w:rsid w:val="002012CD"/>
    <w:rsid w:val="00201CD0"/>
    <w:rsid w:val="00213605"/>
    <w:rsid w:val="00213EA1"/>
    <w:rsid w:val="00214FE5"/>
    <w:rsid w:val="00231D05"/>
    <w:rsid w:val="00232A4A"/>
    <w:rsid w:val="00234C4A"/>
    <w:rsid w:val="00240326"/>
    <w:rsid w:val="00240C24"/>
    <w:rsid w:val="0024359A"/>
    <w:rsid w:val="0025117A"/>
    <w:rsid w:val="002513C0"/>
    <w:rsid w:val="00251962"/>
    <w:rsid w:val="0025410F"/>
    <w:rsid w:val="0025643B"/>
    <w:rsid w:val="00257E92"/>
    <w:rsid w:val="00261201"/>
    <w:rsid w:val="002651DE"/>
    <w:rsid w:val="00270635"/>
    <w:rsid w:val="00270CDA"/>
    <w:rsid w:val="002711CE"/>
    <w:rsid w:val="0027162B"/>
    <w:rsid w:val="00275EE4"/>
    <w:rsid w:val="00275F4A"/>
    <w:rsid w:val="00276210"/>
    <w:rsid w:val="00276AC6"/>
    <w:rsid w:val="00276C2F"/>
    <w:rsid w:val="0028025D"/>
    <w:rsid w:val="00282B74"/>
    <w:rsid w:val="00282F35"/>
    <w:rsid w:val="00284374"/>
    <w:rsid w:val="00285738"/>
    <w:rsid w:val="00286A88"/>
    <w:rsid w:val="002904B9"/>
    <w:rsid w:val="00291A57"/>
    <w:rsid w:val="0029736A"/>
    <w:rsid w:val="002A1D21"/>
    <w:rsid w:val="002A26F5"/>
    <w:rsid w:val="002A272C"/>
    <w:rsid w:val="002A284F"/>
    <w:rsid w:val="002A6C89"/>
    <w:rsid w:val="002B1523"/>
    <w:rsid w:val="002B53D3"/>
    <w:rsid w:val="002B6720"/>
    <w:rsid w:val="002C4F92"/>
    <w:rsid w:val="002C5752"/>
    <w:rsid w:val="002C62F4"/>
    <w:rsid w:val="002C6940"/>
    <w:rsid w:val="002C6FEE"/>
    <w:rsid w:val="002D3723"/>
    <w:rsid w:val="002D3BB0"/>
    <w:rsid w:val="002D73C9"/>
    <w:rsid w:val="002E0D72"/>
    <w:rsid w:val="002E65B3"/>
    <w:rsid w:val="002F575B"/>
    <w:rsid w:val="002F7B5A"/>
    <w:rsid w:val="00303D9F"/>
    <w:rsid w:val="0030661C"/>
    <w:rsid w:val="00317773"/>
    <w:rsid w:val="003215CE"/>
    <w:rsid w:val="00323C5A"/>
    <w:rsid w:val="003251E3"/>
    <w:rsid w:val="003257BC"/>
    <w:rsid w:val="00327D11"/>
    <w:rsid w:val="00331887"/>
    <w:rsid w:val="003323C0"/>
    <w:rsid w:val="00332EE2"/>
    <w:rsid w:val="00337980"/>
    <w:rsid w:val="00357214"/>
    <w:rsid w:val="00357A39"/>
    <w:rsid w:val="00357BD0"/>
    <w:rsid w:val="00362AB9"/>
    <w:rsid w:val="003705B0"/>
    <w:rsid w:val="00375BEE"/>
    <w:rsid w:val="00380BC9"/>
    <w:rsid w:val="00381865"/>
    <w:rsid w:val="003844EB"/>
    <w:rsid w:val="00391317"/>
    <w:rsid w:val="003934F8"/>
    <w:rsid w:val="003A6D7F"/>
    <w:rsid w:val="003B5357"/>
    <w:rsid w:val="003B5E85"/>
    <w:rsid w:val="003C539A"/>
    <w:rsid w:val="003C57DB"/>
    <w:rsid w:val="003D352D"/>
    <w:rsid w:val="003D5A19"/>
    <w:rsid w:val="003D63B8"/>
    <w:rsid w:val="003E09B6"/>
    <w:rsid w:val="003E30AC"/>
    <w:rsid w:val="003E5705"/>
    <w:rsid w:val="003F06C0"/>
    <w:rsid w:val="003F1800"/>
    <w:rsid w:val="003F7222"/>
    <w:rsid w:val="003F7650"/>
    <w:rsid w:val="003F76BC"/>
    <w:rsid w:val="003F7CF9"/>
    <w:rsid w:val="00402995"/>
    <w:rsid w:val="00403FD5"/>
    <w:rsid w:val="004048B5"/>
    <w:rsid w:val="00404E24"/>
    <w:rsid w:val="00405404"/>
    <w:rsid w:val="004060EE"/>
    <w:rsid w:val="00415D55"/>
    <w:rsid w:val="00416FB2"/>
    <w:rsid w:val="00417230"/>
    <w:rsid w:val="004174A6"/>
    <w:rsid w:val="00417ABE"/>
    <w:rsid w:val="00422F12"/>
    <w:rsid w:val="00424348"/>
    <w:rsid w:val="00425C9A"/>
    <w:rsid w:val="00426708"/>
    <w:rsid w:val="00426FA2"/>
    <w:rsid w:val="00430DC9"/>
    <w:rsid w:val="004337F3"/>
    <w:rsid w:val="00441BFD"/>
    <w:rsid w:val="004421B4"/>
    <w:rsid w:val="00443170"/>
    <w:rsid w:val="004439CC"/>
    <w:rsid w:val="004448D6"/>
    <w:rsid w:val="004453C3"/>
    <w:rsid w:val="00453524"/>
    <w:rsid w:val="00455853"/>
    <w:rsid w:val="0045623F"/>
    <w:rsid w:val="004609AB"/>
    <w:rsid w:val="004617CE"/>
    <w:rsid w:val="00466946"/>
    <w:rsid w:val="00467DF1"/>
    <w:rsid w:val="00470144"/>
    <w:rsid w:val="00472855"/>
    <w:rsid w:val="00473F6C"/>
    <w:rsid w:val="004770E6"/>
    <w:rsid w:val="00477DF3"/>
    <w:rsid w:val="00480D56"/>
    <w:rsid w:val="00480FB2"/>
    <w:rsid w:val="00481007"/>
    <w:rsid w:val="0048137F"/>
    <w:rsid w:val="004813CB"/>
    <w:rsid w:val="004813D5"/>
    <w:rsid w:val="00483CD5"/>
    <w:rsid w:val="0048455E"/>
    <w:rsid w:val="0048520E"/>
    <w:rsid w:val="004862CD"/>
    <w:rsid w:val="00494EEB"/>
    <w:rsid w:val="00494F75"/>
    <w:rsid w:val="00496203"/>
    <w:rsid w:val="00496A7F"/>
    <w:rsid w:val="004A4E8D"/>
    <w:rsid w:val="004A5872"/>
    <w:rsid w:val="004B0AE9"/>
    <w:rsid w:val="004C382F"/>
    <w:rsid w:val="004C6556"/>
    <w:rsid w:val="004C65B5"/>
    <w:rsid w:val="004D05AD"/>
    <w:rsid w:val="004D222D"/>
    <w:rsid w:val="004D2A13"/>
    <w:rsid w:val="004D4A81"/>
    <w:rsid w:val="004D4B41"/>
    <w:rsid w:val="004D5AFC"/>
    <w:rsid w:val="004D655B"/>
    <w:rsid w:val="004D76C0"/>
    <w:rsid w:val="004E37BF"/>
    <w:rsid w:val="004F09C5"/>
    <w:rsid w:val="004F1FC4"/>
    <w:rsid w:val="004F4FCB"/>
    <w:rsid w:val="0050135D"/>
    <w:rsid w:val="0050333F"/>
    <w:rsid w:val="005064F4"/>
    <w:rsid w:val="0051046F"/>
    <w:rsid w:val="00512708"/>
    <w:rsid w:val="00512AFF"/>
    <w:rsid w:val="00517FE4"/>
    <w:rsid w:val="00525B8D"/>
    <w:rsid w:val="0052691E"/>
    <w:rsid w:val="00526BBB"/>
    <w:rsid w:val="005350E7"/>
    <w:rsid w:val="00535F2A"/>
    <w:rsid w:val="00541EBC"/>
    <w:rsid w:val="00542B5B"/>
    <w:rsid w:val="00543A22"/>
    <w:rsid w:val="00543DCB"/>
    <w:rsid w:val="00546C67"/>
    <w:rsid w:val="005544FC"/>
    <w:rsid w:val="005625CB"/>
    <w:rsid w:val="00562E30"/>
    <w:rsid w:val="0056671B"/>
    <w:rsid w:val="005676AA"/>
    <w:rsid w:val="005679CC"/>
    <w:rsid w:val="00567ACA"/>
    <w:rsid w:val="0057160A"/>
    <w:rsid w:val="0057468D"/>
    <w:rsid w:val="00574A33"/>
    <w:rsid w:val="005774AC"/>
    <w:rsid w:val="005801E6"/>
    <w:rsid w:val="00580311"/>
    <w:rsid w:val="005818A3"/>
    <w:rsid w:val="00581EE4"/>
    <w:rsid w:val="005845C6"/>
    <w:rsid w:val="00585C45"/>
    <w:rsid w:val="00597C37"/>
    <w:rsid w:val="005A0646"/>
    <w:rsid w:val="005A281E"/>
    <w:rsid w:val="005A3E6C"/>
    <w:rsid w:val="005B339C"/>
    <w:rsid w:val="005B7346"/>
    <w:rsid w:val="005C11FF"/>
    <w:rsid w:val="005C1467"/>
    <w:rsid w:val="005C168C"/>
    <w:rsid w:val="005C61C3"/>
    <w:rsid w:val="005C72CC"/>
    <w:rsid w:val="005D0194"/>
    <w:rsid w:val="005D1013"/>
    <w:rsid w:val="005D15F6"/>
    <w:rsid w:val="005D3321"/>
    <w:rsid w:val="005D3F8C"/>
    <w:rsid w:val="005D4CBE"/>
    <w:rsid w:val="005D5BF1"/>
    <w:rsid w:val="005E0EE3"/>
    <w:rsid w:val="005E17A3"/>
    <w:rsid w:val="005E2C78"/>
    <w:rsid w:val="005F3A4F"/>
    <w:rsid w:val="005F5BA0"/>
    <w:rsid w:val="005F6B4E"/>
    <w:rsid w:val="005F7DD3"/>
    <w:rsid w:val="00600E28"/>
    <w:rsid w:val="006051A7"/>
    <w:rsid w:val="00607311"/>
    <w:rsid w:val="006075D3"/>
    <w:rsid w:val="00611430"/>
    <w:rsid w:val="00613D4E"/>
    <w:rsid w:val="0061446F"/>
    <w:rsid w:val="00617739"/>
    <w:rsid w:val="0062017F"/>
    <w:rsid w:val="00626D84"/>
    <w:rsid w:val="0062731D"/>
    <w:rsid w:val="00627697"/>
    <w:rsid w:val="00633C92"/>
    <w:rsid w:val="00640599"/>
    <w:rsid w:val="006465EA"/>
    <w:rsid w:val="00654CAC"/>
    <w:rsid w:val="00656764"/>
    <w:rsid w:val="006605E3"/>
    <w:rsid w:val="006618D1"/>
    <w:rsid w:val="006651DD"/>
    <w:rsid w:val="00665BF9"/>
    <w:rsid w:val="00665D34"/>
    <w:rsid w:val="006670B6"/>
    <w:rsid w:val="00671435"/>
    <w:rsid w:val="006715D7"/>
    <w:rsid w:val="00673171"/>
    <w:rsid w:val="00673316"/>
    <w:rsid w:val="006734B5"/>
    <w:rsid w:val="006750B5"/>
    <w:rsid w:val="0067699C"/>
    <w:rsid w:val="00680777"/>
    <w:rsid w:val="006857AD"/>
    <w:rsid w:val="00694C7E"/>
    <w:rsid w:val="00695433"/>
    <w:rsid w:val="00695EAE"/>
    <w:rsid w:val="006963B4"/>
    <w:rsid w:val="006A0F81"/>
    <w:rsid w:val="006A1919"/>
    <w:rsid w:val="006A19E6"/>
    <w:rsid w:val="006A26D4"/>
    <w:rsid w:val="006A32C5"/>
    <w:rsid w:val="006A3B3D"/>
    <w:rsid w:val="006A3EFB"/>
    <w:rsid w:val="006A47F1"/>
    <w:rsid w:val="006A5274"/>
    <w:rsid w:val="006A621C"/>
    <w:rsid w:val="006A63C1"/>
    <w:rsid w:val="006B1F32"/>
    <w:rsid w:val="006B2460"/>
    <w:rsid w:val="006B3535"/>
    <w:rsid w:val="006B7F4B"/>
    <w:rsid w:val="006C0F51"/>
    <w:rsid w:val="006C1C0A"/>
    <w:rsid w:val="006C6E9D"/>
    <w:rsid w:val="006C6F9A"/>
    <w:rsid w:val="006D47AB"/>
    <w:rsid w:val="006D609C"/>
    <w:rsid w:val="006D6D90"/>
    <w:rsid w:val="006E090E"/>
    <w:rsid w:val="006E4725"/>
    <w:rsid w:val="006E6D8A"/>
    <w:rsid w:val="00703911"/>
    <w:rsid w:val="00705658"/>
    <w:rsid w:val="007142E9"/>
    <w:rsid w:val="007158FD"/>
    <w:rsid w:val="00716613"/>
    <w:rsid w:val="007169B5"/>
    <w:rsid w:val="00723912"/>
    <w:rsid w:val="00730672"/>
    <w:rsid w:val="007379BD"/>
    <w:rsid w:val="007416AF"/>
    <w:rsid w:val="007444DD"/>
    <w:rsid w:val="0074692A"/>
    <w:rsid w:val="00746BD2"/>
    <w:rsid w:val="007510CA"/>
    <w:rsid w:val="00752307"/>
    <w:rsid w:val="00754D18"/>
    <w:rsid w:val="00757D9B"/>
    <w:rsid w:val="00761613"/>
    <w:rsid w:val="00763843"/>
    <w:rsid w:val="00763AA1"/>
    <w:rsid w:val="0076484D"/>
    <w:rsid w:val="007654EE"/>
    <w:rsid w:val="007717F5"/>
    <w:rsid w:val="00776038"/>
    <w:rsid w:val="00776D22"/>
    <w:rsid w:val="00781A2E"/>
    <w:rsid w:val="00781D62"/>
    <w:rsid w:val="00781E69"/>
    <w:rsid w:val="00786538"/>
    <w:rsid w:val="00787A99"/>
    <w:rsid w:val="007901D0"/>
    <w:rsid w:val="007909CC"/>
    <w:rsid w:val="007937A4"/>
    <w:rsid w:val="0079390E"/>
    <w:rsid w:val="007945E9"/>
    <w:rsid w:val="00796C76"/>
    <w:rsid w:val="007A334F"/>
    <w:rsid w:val="007A5D59"/>
    <w:rsid w:val="007B3E38"/>
    <w:rsid w:val="007B4032"/>
    <w:rsid w:val="007B5FF3"/>
    <w:rsid w:val="007B6A64"/>
    <w:rsid w:val="007B7965"/>
    <w:rsid w:val="007C0C47"/>
    <w:rsid w:val="007C0F78"/>
    <w:rsid w:val="007C22E0"/>
    <w:rsid w:val="007D1821"/>
    <w:rsid w:val="007D7926"/>
    <w:rsid w:val="007E0F3C"/>
    <w:rsid w:val="007E14B4"/>
    <w:rsid w:val="007E2CC6"/>
    <w:rsid w:val="007E52AB"/>
    <w:rsid w:val="007E6A32"/>
    <w:rsid w:val="007E6AE5"/>
    <w:rsid w:val="007E755A"/>
    <w:rsid w:val="007F7E73"/>
    <w:rsid w:val="00803328"/>
    <w:rsid w:val="00803E5B"/>
    <w:rsid w:val="008056AF"/>
    <w:rsid w:val="00805CE3"/>
    <w:rsid w:val="00815567"/>
    <w:rsid w:val="0081566C"/>
    <w:rsid w:val="00816504"/>
    <w:rsid w:val="00817691"/>
    <w:rsid w:val="00826916"/>
    <w:rsid w:val="00832663"/>
    <w:rsid w:val="008343CE"/>
    <w:rsid w:val="0083619A"/>
    <w:rsid w:val="00837F87"/>
    <w:rsid w:val="008403C2"/>
    <w:rsid w:val="00841C4B"/>
    <w:rsid w:val="008456D2"/>
    <w:rsid w:val="0085139C"/>
    <w:rsid w:val="00854EFF"/>
    <w:rsid w:val="00857B56"/>
    <w:rsid w:val="00857D66"/>
    <w:rsid w:val="008604C3"/>
    <w:rsid w:val="00861F79"/>
    <w:rsid w:val="00862481"/>
    <w:rsid w:val="00862A0E"/>
    <w:rsid w:val="00862E9B"/>
    <w:rsid w:val="0086366C"/>
    <w:rsid w:val="0086400A"/>
    <w:rsid w:val="008655A7"/>
    <w:rsid w:val="00867CAC"/>
    <w:rsid w:val="008729C4"/>
    <w:rsid w:val="00874117"/>
    <w:rsid w:val="008751D5"/>
    <w:rsid w:val="00880300"/>
    <w:rsid w:val="00880674"/>
    <w:rsid w:val="008853CD"/>
    <w:rsid w:val="00886A33"/>
    <w:rsid w:val="00886B18"/>
    <w:rsid w:val="00887AC6"/>
    <w:rsid w:val="00887B86"/>
    <w:rsid w:val="00891DDA"/>
    <w:rsid w:val="00894C55"/>
    <w:rsid w:val="00895C90"/>
    <w:rsid w:val="008A148D"/>
    <w:rsid w:val="008A17CA"/>
    <w:rsid w:val="008A5A9A"/>
    <w:rsid w:val="008A5E86"/>
    <w:rsid w:val="008B02D2"/>
    <w:rsid w:val="008B6949"/>
    <w:rsid w:val="008B735F"/>
    <w:rsid w:val="008C052F"/>
    <w:rsid w:val="008C1F84"/>
    <w:rsid w:val="008C21D3"/>
    <w:rsid w:val="008C3544"/>
    <w:rsid w:val="008C6194"/>
    <w:rsid w:val="008C70C4"/>
    <w:rsid w:val="008D04A2"/>
    <w:rsid w:val="008D1B73"/>
    <w:rsid w:val="008D26B7"/>
    <w:rsid w:val="008E0A54"/>
    <w:rsid w:val="008E2CCB"/>
    <w:rsid w:val="008E327E"/>
    <w:rsid w:val="008E578F"/>
    <w:rsid w:val="008E786F"/>
    <w:rsid w:val="008E79FE"/>
    <w:rsid w:val="008F4022"/>
    <w:rsid w:val="008F4294"/>
    <w:rsid w:val="008F4B09"/>
    <w:rsid w:val="008F604A"/>
    <w:rsid w:val="008F6985"/>
    <w:rsid w:val="0090085D"/>
    <w:rsid w:val="00900FBB"/>
    <w:rsid w:val="00901EB1"/>
    <w:rsid w:val="00904C1F"/>
    <w:rsid w:val="009158F3"/>
    <w:rsid w:val="009160C4"/>
    <w:rsid w:val="009160C6"/>
    <w:rsid w:val="009163E3"/>
    <w:rsid w:val="00916447"/>
    <w:rsid w:val="00923BF4"/>
    <w:rsid w:val="00935E1E"/>
    <w:rsid w:val="00941C5B"/>
    <w:rsid w:val="00942201"/>
    <w:rsid w:val="00942CA4"/>
    <w:rsid w:val="009453B7"/>
    <w:rsid w:val="009512BD"/>
    <w:rsid w:val="00951434"/>
    <w:rsid w:val="00953AE9"/>
    <w:rsid w:val="00962656"/>
    <w:rsid w:val="00970873"/>
    <w:rsid w:val="00970C8F"/>
    <w:rsid w:val="00970FCD"/>
    <w:rsid w:val="0098272D"/>
    <w:rsid w:val="009857A6"/>
    <w:rsid w:val="00985CFA"/>
    <w:rsid w:val="00987DB9"/>
    <w:rsid w:val="00987FB2"/>
    <w:rsid w:val="00991834"/>
    <w:rsid w:val="00993097"/>
    <w:rsid w:val="009934C0"/>
    <w:rsid w:val="00995AAA"/>
    <w:rsid w:val="0099614D"/>
    <w:rsid w:val="009A12D7"/>
    <w:rsid w:val="009A3BF1"/>
    <w:rsid w:val="009A78A7"/>
    <w:rsid w:val="009A7CC5"/>
    <w:rsid w:val="009B045E"/>
    <w:rsid w:val="009B09AF"/>
    <w:rsid w:val="009B30E4"/>
    <w:rsid w:val="009B5A6A"/>
    <w:rsid w:val="009C3B2A"/>
    <w:rsid w:val="009C3D63"/>
    <w:rsid w:val="009C5DE7"/>
    <w:rsid w:val="009D1832"/>
    <w:rsid w:val="009D501F"/>
    <w:rsid w:val="009E7B7F"/>
    <w:rsid w:val="009F1DB8"/>
    <w:rsid w:val="009F4B48"/>
    <w:rsid w:val="009F635A"/>
    <w:rsid w:val="00A05E51"/>
    <w:rsid w:val="00A0741B"/>
    <w:rsid w:val="00A10D26"/>
    <w:rsid w:val="00A10F29"/>
    <w:rsid w:val="00A1100E"/>
    <w:rsid w:val="00A1168D"/>
    <w:rsid w:val="00A11E7B"/>
    <w:rsid w:val="00A16C54"/>
    <w:rsid w:val="00A227E9"/>
    <w:rsid w:val="00A22B42"/>
    <w:rsid w:val="00A246A3"/>
    <w:rsid w:val="00A26852"/>
    <w:rsid w:val="00A268B1"/>
    <w:rsid w:val="00A27951"/>
    <w:rsid w:val="00A2795E"/>
    <w:rsid w:val="00A32345"/>
    <w:rsid w:val="00A3707C"/>
    <w:rsid w:val="00A374E4"/>
    <w:rsid w:val="00A3767D"/>
    <w:rsid w:val="00A409DF"/>
    <w:rsid w:val="00A442A0"/>
    <w:rsid w:val="00A56834"/>
    <w:rsid w:val="00A57CFA"/>
    <w:rsid w:val="00A63CBA"/>
    <w:rsid w:val="00A63D86"/>
    <w:rsid w:val="00A64068"/>
    <w:rsid w:val="00A654CD"/>
    <w:rsid w:val="00A6583C"/>
    <w:rsid w:val="00A6697D"/>
    <w:rsid w:val="00A71BD7"/>
    <w:rsid w:val="00A71C1B"/>
    <w:rsid w:val="00A73382"/>
    <w:rsid w:val="00A751BA"/>
    <w:rsid w:val="00A81773"/>
    <w:rsid w:val="00A82DE7"/>
    <w:rsid w:val="00A8358A"/>
    <w:rsid w:val="00A8378F"/>
    <w:rsid w:val="00A869A8"/>
    <w:rsid w:val="00A91008"/>
    <w:rsid w:val="00A91EAB"/>
    <w:rsid w:val="00A93104"/>
    <w:rsid w:val="00A9364E"/>
    <w:rsid w:val="00A95086"/>
    <w:rsid w:val="00A954DF"/>
    <w:rsid w:val="00A96621"/>
    <w:rsid w:val="00AA3983"/>
    <w:rsid w:val="00AA4DC8"/>
    <w:rsid w:val="00AA5F52"/>
    <w:rsid w:val="00AA613B"/>
    <w:rsid w:val="00AA7F8B"/>
    <w:rsid w:val="00AB0639"/>
    <w:rsid w:val="00AB6676"/>
    <w:rsid w:val="00AC0262"/>
    <w:rsid w:val="00AC7F77"/>
    <w:rsid w:val="00AD37F5"/>
    <w:rsid w:val="00AD468E"/>
    <w:rsid w:val="00AE04C7"/>
    <w:rsid w:val="00AE225C"/>
    <w:rsid w:val="00AE4235"/>
    <w:rsid w:val="00AE49E1"/>
    <w:rsid w:val="00AE4D4F"/>
    <w:rsid w:val="00AE644C"/>
    <w:rsid w:val="00AE710F"/>
    <w:rsid w:val="00AF3691"/>
    <w:rsid w:val="00AF6B3E"/>
    <w:rsid w:val="00AF7A11"/>
    <w:rsid w:val="00AF7A3A"/>
    <w:rsid w:val="00B0138B"/>
    <w:rsid w:val="00B01A02"/>
    <w:rsid w:val="00B042C0"/>
    <w:rsid w:val="00B06AAC"/>
    <w:rsid w:val="00B10AE7"/>
    <w:rsid w:val="00B13357"/>
    <w:rsid w:val="00B13F4C"/>
    <w:rsid w:val="00B1429D"/>
    <w:rsid w:val="00B16FF1"/>
    <w:rsid w:val="00B2301E"/>
    <w:rsid w:val="00B23868"/>
    <w:rsid w:val="00B30E2C"/>
    <w:rsid w:val="00B33CB3"/>
    <w:rsid w:val="00B34036"/>
    <w:rsid w:val="00B34D5D"/>
    <w:rsid w:val="00B3680D"/>
    <w:rsid w:val="00B41A2A"/>
    <w:rsid w:val="00B42599"/>
    <w:rsid w:val="00B443CB"/>
    <w:rsid w:val="00B4471A"/>
    <w:rsid w:val="00B478C4"/>
    <w:rsid w:val="00B506DD"/>
    <w:rsid w:val="00B52C3D"/>
    <w:rsid w:val="00B53988"/>
    <w:rsid w:val="00B54441"/>
    <w:rsid w:val="00B547E6"/>
    <w:rsid w:val="00B54E14"/>
    <w:rsid w:val="00B55534"/>
    <w:rsid w:val="00B57CA8"/>
    <w:rsid w:val="00B60B00"/>
    <w:rsid w:val="00B63199"/>
    <w:rsid w:val="00B63801"/>
    <w:rsid w:val="00B64A5D"/>
    <w:rsid w:val="00B6535F"/>
    <w:rsid w:val="00B737B4"/>
    <w:rsid w:val="00B75CA8"/>
    <w:rsid w:val="00B775F1"/>
    <w:rsid w:val="00B85912"/>
    <w:rsid w:val="00B85F47"/>
    <w:rsid w:val="00B87841"/>
    <w:rsid w:val="00B90A17"/>
    <w:rsid w:val="00B9738D"/>
    <w:rsid w:val="00B978EB"/>
    <w:rsid w:val="00B97A02"/>
    <w:rsid w:val="00BA3DFD"/>
    <w:rsid w:val="00BB17A5"/>
    <w:rsid w:val="00BB2CC0"/>
    <w:rsid w:val="00BB648F"/>
    <w:rsid w:val="00BB7BC5"/>
    <w:rsid w:val="00BC272F"/>
    <w:rsid w:val="00BC5DC2"/>
    <w:rsid w:val="00BD06F1"/>
    <w:rsid w:val="00BD271B"/>
    <w:rsid w:val="00BD35FA"/>
    <w:rsid w:val="00BD4659"/>
    <w:rsid w:val="00BE181E"/>
    <w:rsid w:val="00BE1B3C"/>
    <w:rsid w:val="00BE262F"/>
    <w:rsid w:val="00BE3947"/>
    <w:rsid w:val="00BE3B1F"/>
    <w:rsid w:val="00BE53CB"/>
    <w:rsid w:val="00BE7205"/>
    <w:rsid w:val="00BF46D1"/>
    <w:rsid w:val="00BF6ED6"/>
    <w:rsid w:val="00C018B0"/>
    <w:rsid w:val="00C03222"/>
    <w:rsid w:val="00C04947"/>
    <w:rsid w:val="00C072BD"/>
    <w:rsid w:val="00C07BD8"/>
    <w:rsid w:val="00C11E36"/>
    <w:rsid w:val="00C13194"/>
    <w:rsid w:val="00C20725"/>
    <w:rsid w:val="00C24884"/>
    <w:rsid w:val="00C2604D"/>
    <w:rsid w:val="00C304A7"/>
    <w:rsid w:val="00C34048"/>
    <w:rsid w:val="00C373B0"/>
    <w:rsid w:val="00C40AB2"/>
    <w:rsid w:val="00C44380"/>
    <w:rsid w:val="00C45F01"/>
    <w:rsid w:val="00C47377"/>
    <w:rsid w:val="00C50EBC"/>
    <w:rsid w:val="00C5109B"/>
    <w:rsid w:val="00C53A4F"/>
    <w:rsid w:val="00C54227"/>
    <w:rsid w:val="00C56039"/>
    <w:rsid w:val="00C5630D"/>
    <w:rsid w:val="00C60343"/>
    <w:rsid w:val="00C64887"/>
    <w:rsid w:val="00C6608A"/>
    <w:rsid w:val="00C66B7B"/>
    <w:rsid w:val="00C66CC2"/>
    <w:rsid w:val="00C67232"/>
    <w:rsid w:val="00C70FA1"/>
    <w:rsid w:val="00C734BB"/>
    <w:rsid w:val="00C85D07"/>
    <w:rsid w:val="00C86512"/>
    <w:rsid w:val="00C8766D"/>
    <w:rsid w:val="00C87A83"/>
    <w:rsid w:val="00C903A1"/>
    <w:rsid w:val="00C91161"/>
    <w:rsid w:val="00C914BD"/>
    <w:rsid w:val="00C92A6A"/>
    <w:rsid w:val="00C933C9"/>
    <w:rsid w:val="00C93AA9"/>
    <w:rsid w:val="00C93CB1"/>
    <w:rsid w:val="00C960A3"/>
    <w:rsid w:val="00CA3103"/>
    <w:rsid w:val="00CA40BA"/>
    <w:rsid w:val="00CA4105"/>
    <w:rsid w:val="00CA4BFC"/>
    <w:rsid w:val="00CA7CEB"/>
    <w:rsid w:val="00CB1797"/>
    <w:rsid w:val="00CB2DD1"/>
    <w:rsid w:val="00CB44D7"/>
    <w:rsid w:val="00CB6D0D"/>
    <w:rsid w:val="00CB71F7"/>
    <w:rsid w:val="00CC15B3"/>
    <w:rsid w:val="00CC1D1C"/>
    <w:rsid w:val="00CC3F9B"/>
    <w:rsid w:val="00CC4547"/>
    <w:rsid w:val="00CD205D"/>
    <w:rsid w:val="00CD2442"/>
    <w:rsid w:val="00CD2BCE"/>
    <w:rsid w:val="00CD5126"/>
    <w:rsid w:val="00CD5FB6"/>
    <w:rsid w:val="00CD6FB2"/>
    <w:rsid w:val="00CE28F3"/>
    <w:rsid w:val="00CE4134"/>
    <w:rsid w:val="00CE4EFC"/>
    <w:rsid w:val="00CE60FF"/>
    <w:rsid w:val="00CF02BC"/>
    <w:rsid w:val="00CF46DE"/>
    <w:rsid w:val="00CF7033"/>
    <w:rsid w:val="00D000BE"/>
    <w:rsid w:val="00D04B97"/>
    <w:rsid w:val="00D0731D"/>
    <w:rsid w:val="00D07C17"/>
    <w:rsid w:val="00D1142E"/>
    <w:rsid w:val="00D15459"/>
    <w:rsid w:val="00D15869"/>
    <w:rsid w:val="00D166E6"/>
    <w:rsid w:val="00D17B59"/>
    <w:rsid w:val="00D2145D"/>
    <w:rsid w:val="00D22D25"/>
    <w:rsid w:val="00D22F3D"/>
    <w:rsid w:val="00D31A62"/>
    <w:rsid w:val="00D35114"/>
    <w:rsid w:val="00D35237"/>
    <w:rsid w:val="00D40056"/>
    <w:rsid w:val="00D40442"/>
    <w:rsid w:val="00D4642F"/>
    <w:rsid w:val="00D47764"/>
    <w:rsid w:val="00D50DD0"/>
    <w:rsid w:val="00D5373E"/>
    <w:rsid w:val="00D53BAA"/>
    <w:rsid w:val="00D54D1E"/>
    <w:rsid w:val="00D55CD1"/>
    <w:rsid w:val="00D5630B"/>
    <w:rsid w:val="00D56897"/>
    <w:rsid w:val="00D569A4"/>
    <w:rsid w:val="00D6065D"/>
    <w:rsid w:val="00D60DBC"/>
    <w:rsid w:val="00D727B2"/>
    <w:rsid w:val="00D74CD0"/>
    <w:rsid w:val="00D75B40"/>
    <w:rsid w:val="00D8128D"/>
    <w:rsid w:val="00D833D4"/>
    <w:rsid w:val="00D84B01"/>
    <w:rsid w:val="00D86AC8"/>
    <w:rsid w:val="00D87C38"/>
    <w:rsid w:val="00D91170"/>
    <w:rsid w:val="00D9713C"/>
    <w:rsid w:val="00D975D4"/>
    <w:rsid w:val="00D97EE0"/>
    <w:rsid w:val="00DA12B5"/>
    <w:rsid w:val="00DA24FE"/>
    <w:rsid w:val="00DA693A"/>
    <w:rsid w:val="00DB1FF2"/>
    <w:rsid w:val="00DB239B"/>
    <w:rsid w:val="00DB27BD"/>
    <w:rsid w:val="00DB478D"/>
    <w:rsid w:val="00DC778D"/>
    <w:rsid w:val="00DD03E3"/>
    <w:rsid w:val="00DD150B"/>
    <w:rsid w:val="00DD223E"/>
    <w:rsid w:val="00DD3E89"/>
    <w:rsid w:val="00DD579F"/>
    <w:rsid w:val="00DD5F6F"/>
    <w:rsid w:val="00DD758F"/>
    <w:rsid w:val="00DE20FC"/>
    <w:rsid w:val="00DE720C"/>
    <w:rsid w:val="00DF2570"/>
    <w:rsid w:val="00DF77C5"/>
    <w:rsid w:val="00E0186D"/>
    <w:rsid w:val="00E05DBD"/>
    <w:rsid w:val="00E071B7"/>
    <w:rsid w:val="00E079EC"/>
    <w:rsid w:val="00E108A7"/>
    <w:rsid w:val="00E140C7"/>
    <w:rsid w:val="00E148A9"/>
    <w:rsid w:val="00E21271"/>
    <w:rsid w:val="00E22FCD"/>
    <w:rsid w:val="00E25011"/>
    <w:rsid w:val="00E3141C"/>
    <w:rsid w:val="00E342C1"/>
    <w:rsid w:val="00E42249"/>
    <w:rsid w:val="00E43C37"/>
    <w:rsid w:val="00E4416D"/>
    <w:rsid w:val="00E46964"/>
    <w:rsid w:val="00E47219"/>
    <w:rsid w:val="00E5042C"/>
    <w:rsid w:val="00E57836"/>
    <w:rsid w:val="00E60F35"/>
    <w:rsid w:val="00E625B1"/>
    <w:rsid w:val="00E668CB"/>
    <w:rsid w:val="00E71F33"/>
    <w:rsid w:val="00E73295"/>
    <w:rsid w:val="00E73753"/>
    <w:rsid w:val="00E7478D"/>
    <w:rsid w:val="00E75CBA"/>
    <w:rsid w:val="00E82C6D"/>
    <w:rsid w:val="00E84AD1"/>
    <w:rsid w:val="00E86F05"/>
    <w:rsid w:val="00E928B0"/>
    <w:rsid w:val="00E92C12"/>
    <w:rsid w:val="00E96892"/>
    <w:rsid w:val="00E97B32"/>
    <w:rsid w:val="00EA11D4"/>
    <w:rsid w:val="00EA1A50"/>
    <w:rsid w:val="00EA1FDF"/>
    <w:rsid w:val="00EA274A"/>
    <w:rsid w:val="00EA68D3"/>
    <w:rsid w:val="00EA7922"/>
    <w:rsid w:val="00EB3308"/>
    <w:rsid w:val="00EB3E8E"/>
    <w:rsid w:val="00EB799D"/>
    <w:rsid w:val="00EC1BEF"/>
    <w:rsid w:val="00EC498B"/>
    <w:rsid w:val="00ED058B"/>
    <w:rsid w:val="00ED1E2B"/>
    <w:rsid w:val="00ED25B3"/>
    <w:rsid w:val="00ED282D"/>
    <w:rsid w:val="00ED2CDC"/>
    <w:rsid w:val="00ED34FA"/>
    <w:rsid w:val="00ED3CF0"/>
    <w:rsid w:val="00ED4066"/>
    <w:rsid w:val="00ED5A4D"/>
    <w:rsid w:val="00EE1D98"/>
    <w:rsid w:val="00F009BE"/>
    <w:rsid w:val="00F010F0"/>
    <w:rsid w:val="00F150CB"/>
    <w:rsid w:val="00F165CD"/>
    <w:rsid w:val="00F1796E"/>
    <w:rsid w:val="00F21B1C"/>
    <w:rsid w:val="00F22A17"/>
    <w:rsid w:val="00F24FAF"/>
    <w:rsid w:val="00F252E4"/>
    <w:rsid w:val="00F30676"/>
    <w:rsid w:val="00F328C8"/>
    <w:rsid w:val="00F40257"/>
    <w:rsid w:val="00F43125"/>
    <w:rsid w:val="00F46D89"/>
    <w:rsid w:val="00F47A1B"/>
    <w:rsid w:val="00F47EF6"/>
    <w:rsid w:val="00F50E38"/>
    <w:rsid w:val="00F5217C"/>
    <w:rsid w:val="00F544F8"/>
    <w:rsid w:val="00F54A2B"/>
    <w:rsid w:val="00F559BB"/>
    <w:rsid w:val="00F60CB7"/>
    <w:rsid w:val="00F62971"/>
    <w:rsid w:val="00F63E7E"/>
    <w:rsid w:val="00F64120"/>
    <w:rsid w:val="00F71F7D"/>
    <w:rsid w:val="00F72103"/>
    <w:rsid w:val="00F73B34"/>
    <w:rsid w:val="00F7538C"/>
    <w:rsid w:val="00F77A6D"/>
    <w:rsid w:val="00F77B20"/>
    <w:rsid w:val="00F77C5A"/>
    <w:rsid w:val="00F8166B"/>
    <w:rsid w:val="00F83642"/>
    <w:rsid w:val="00F84B48"/>
    <w:rsid w:val="00F85729"/>
    <w:rsid w:val="00F86867"/>
    <w:rsid w:val="00F90022"/>
    <w:rsid w:val="00F91553"/>
    <w:rsid w:val="00F96211"/>
    <w:rsid w:val="00F97B52"/>
    <w:rsid w:val="00FA2C31"/>
    <w:rsid w:val="00FA4838"/>
    <w:rsid w:val="00FA786F"/>
    <w:rsid w:val="00FB0467"/>
    <w:rsid w:val="00FB3AC7"/>
    <w:rsid w:val="00FB77DD"/>
    <w:rsid w:val="00FC37F2"/>
    <w:rsid w:val="00FC451D"/>
    <w:rsid w:val="00FC559D"/>
    <w:rsid w:val="00FD0FE1"/>
    <w:rsid w:val="00FD1127"/>
    <w:rsid w:val="00FE6A28"/>
    <w:rsid w:val="00FE71A2"/>
    <w:rsid w:val="00FF0710"/>
    <w:rsid w:val="00FF1973"/>
    <w:rsid w:val="00FF2B0D"/>
    <w:rsid w:val="00FF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3366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FCD"/>
    <w:pPr>
      <w:widowControl w:val="0"/>
      <w:jc w:val="both"/>
    </w:pPr>
    <w:rPr>
      <w:rFonts w:ascii="Tahoma" w:eastAsia="細明體" w:hAnsi="Tahoma"/>
      <w:kern w:val="2"/>
      <w:sz w:val="24"/>
      <w:szCs w:val="24"/>
      <w:lang w:eastAsia="zh-TW"/>
    </w:rPr>
  </w:style>
  <w:style w:type="paragraph" w:styleId="1">
    <w:name w:val="heading 1"/>
    <w:basedOn w:val="a"/>
    <w:next w:val="a"/>
    <w:link w:val="10"/>
    <w:uiPriority w:val="9"/>
    <w:qFormat/>
    <w:rsid w:val="00E22FCD"/>
    <w:pPr>
      <w:keepNext/>
      <w:spacing w:before="240" w:after="60"/>
      <w:jc w:val="left"/>
      <w:outlineLvl w:val="0"/>
    </w:pPr>
    <w:rPr>
      <w:rFonts w:eastAsia="SimSu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22FCD"/>
    <w:pPr>
      <w:keepNext/>
      <w:spacing w:before="240" w:after="60"/>
      <w:jc w:val="left"/>
      <w:outlineLvl w:val="1"/>
    </w:pPr>
    <w:rPr>
      <w:rFonts w:eastAsia="SimSu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D1832"/>
    <w:rPr>
      <w:rFonts w:ascii="Times New Roman" w:eastAsia="新細明體" w:hAnsi="Times New Roman"/>
      <w:b/>
      <w:smallCaps/>
      <w:position w:val="-12"/>
      <w:sz w:val="26"/>
      <w:szCs w:val="20"/>
    </w:rPr>
  </w:style>
  <w:style w:type="paragraph" w:styleId="a4">
    <w:name w:val="footer"/>
    <w:basedOn w:val="a"/>
    <w:rsid w:val="009D1832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/>
      <w:sz w:val="20"/>
      <w:szCs w:val="20"/>
    </w:rPr>
  </w:style>
  <w:style w:type="character" w:styleId="a5">
    <w:name w:val="page number"/>
    <w:basedOn w:val="a0"/>
    <w:rsid w:val="009D1832"/>
  </w:style>
  <w:style w:type="paragraph" w:styleId="a6">
    <w:name w:val="Plain Text"/>
    <w:aliases w:val=" 字元"/>
    <w:basedOn w:val="a"/>
    <w:link w:val="a7"/>
    <w:uiPriority w:val="99"/>
    <w:rsid w:val="00796C76"/>
    <w:pPr>
      <w:widowControl/>
    </w:pPr>
    <w:rPr>
      <w:rFonts w:ascii="Courier New" w:eastAsia="新細明體" w:hAnsi="Courier New" w:cs="Courier New"/>
      <w:kern w:val="0"/>
      <w:sz w:val="20"/>
      <w:szCs w:val="20"/>
      <w:lang w:eastAsia="en-US"/>
    </w:rPr>
  </w:style>
  <w:style w:type="character" w:styleId="a8">
    <w:name w:val="Strong"/>
    <w:qFormat/>
    <w:rsid w:val="003E5705"/>
    <w:rPr>
      <w:b/>
      <w:bCs/>
    </w:rPr>
  </w:style>
  <w:style w:type="paragraph" w:customStyle="1" w:styleId="WW-NormalWeb">
    <w:name w:val="WW-Normal (Web)"/>
    <w:basedOn w:val="a"/>
    <w:rsid w:val="003E5705"/>
    <w:pPr>
      <w:widowControl/>
      <w:suppressAutoHyphens/>
      <w:spacing w:before="100" w:after="100"/>
    </w:pPr>
    <w:rPr>
      <w:rFonts w:ascii="新細明體" w:eastAsia="新細明體" w:hAnsi="新細明體" w:hint="eastAsia"/>
      <w:kern w:val="0"/>
      <w:szCs w:val="20"/>
      <w:lang w:eastAsia="zh-CN"/>
    </w:rPr>
  </w:style>
  <w:style w:type="character" w:styleId="a9">
    <w:name w:val="Hyperlink"/>
    <w:uiPriority w:val="99"/>
    <w:rsid w:val="002C62F4"/>
    <w:rPr>
      <w:color w:val="0000FF"/>
      <w:u w:val="single"/>
    </w:rPr>
  </w:style>
  <w:style w:type="paragraph" w:styleId="aa">
    <w:name w:val="Date"/>
    <w:basedOn w:val="a"/>
    <w:next w:val="a"/>
    <w:rsid w:val="00617739"/>
    <w:pPr>
      <w:jc w:val="right"/>
    </w:pPr>
  </w:style>
  <w:style w:type="paragraph" w:styleId="ab">
    <w:name w:val="Balloon Text"/>
    <w:basedOn w:val="a"/>
    <w:semiHidden/>
    <w:rsid w:val="00D04B97"/>
    <w:rPr>
      <w:rFonts w:ascii="Arial" w:eastAsia="新細明體" w:hAnsi="Arial"/>
      <w:sz w:val="18"/>
      <w:szCs w:val="18"/>
    </w:rPr>
  </w:style>
  <w:style w:type="character" w:customStyle="1" w:styleId="11">
    <w:name w:val="超連結1"/>
    <w:rsid w:val="00B57CA8"/>
    <w:rPr>
      <w:rFonts w:ascii="Garamond" w:hAnsi="Garamond" w:hint="default"/>
      <w:strike w:val="0"/>
      <w:dstrike w:val="0"/>
      <w:color w:val="6B0000"/>
      <w:sz w:val="18"/>
      <w:szCs w:val="18"/>
      <w:u w:val="none"/>
      <w:effect w:val="none"/>
    </w:rPr>
  </w:style>
  <w:style w:type="character" w:customStyle="1" w:styleId="a7">
    <w:name w:val="純文字 字元"/>
    <w:aliases w:val=" 字元 字元"/>
    <w:link w:val="a6"/>
    <w:uiPriority w:val="99"/>
    <w:rsid w:val="008E578F"/>
    <w:rPr>
      <w:rFonts w:ascii="Courier New" w:eastAsia="新細明體" w:hAnsi="Courier New" w:cs="Courier New"/>
      <w:lang w:val="en-US" w:eastAsia="en-US" w:bidi="ar-SA"/>
    </w:rPr>
  </w:style>
  <w:style w:type="paragraph" w:customStyle="1" w:styleId="12">
    <w:name w:val="清單段落1"/>
    <w:basedOn w:val="a"/>
    <w:qFormat/>
    <w:rsid w:val="008E578F"/>
    <w:pPr>
      <w:widowControl/>
      <w:ind w:left="720"/>
    </w:pPr>
    <w:rPr>
      <w:rFonts w:ascii="Times New Roman" w:eastAsia="新細明體" w:hAnsi="Times New Roman"/>
      <w:kern w:val="0"/>
      <w:sz w:val="20"/>
      <w:szCs w:val="20"/>
      <w:lang w:eastAsia="en-US"/>
    </w:rPr>
  </w:style>
  <w:style w:type="paragraph" w:styleId="ac">
    <w:name w:val="header"/>
    <w:basedOn w:val="a"/>
    <w:link w:val="ad"/>
    <w:uiPriority w:val="99"/>
    <w:unhideWhenUsed/>
    <w:rsid w:val="00251962"/>
    <w:pPr>
      <w:tabs>
        <w:tab w:val="center" w:pos="4320"/>
        <w:tab w:val="right" w:pos="8640"/>
      </w:tabs>
    </w:pPr>
  </w:style>
  <w:style w:type="character" w:customStyle="1" w:styleId="ad">
    <w:name w:val="頁首 字元"/>
    <w:link w:val="ac"/>
    <w:uiPriority w:val="99"/>
    <w:rsid w:val="00251962"/>
    <w:rPr>
      <w:rFonts w:ascii="Book Antiqua" w:eastAsia="細明體" w:hAnsi="Book Antiqua"/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BE3947"/>
    <w:pPr>
      <w:ind w:leftChars="200" w:left="480"/>
    </w:pPr>
  </w:style>
  <w:style w:type="character" w:styleId="af">
    <w:name w:val="annotation reference"/>
    <w:uiPriority w:val="99"/>
    <w:semiHidden/>
    <w:unhideWhenUsed/>
    <w:rsid w:val="0020027F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20027F"/>
  </w:style>
  <w:style w:type="character" w:customStyle="1" w:styleId="af1">
    <w:name w:val="註解文字 字元"/>
    <w:link w:val="af0"/>
    <w:uiPriority w:val="99"/>
    <w:semiHidden/>
    <w:rsid w:val="0020027F"/>
    <w:rPr>
      <w:rFonts w:ascii="Book Antiqua" w:eastAsia="細明體" w:hAnsi="Book Antiqua"/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0027F"/>
    <w:rPr>
      <w:b/>
      <w:bCs/>
    </w:rPr>
  </w:style>
  <w:style w:type="character" w:customStyle="1" w:styleId="af3">
    <w:name w:val="註解主旨 字元"/>
    <w:link w:val="af2"/>
    <w:uiPriority w:val="99"/>
    <w:semiHidden/>
    <w:rsid w:val="0020027F"/>
    <w:rPr>
      <w:rFonts w:ascii="Book Antiqua" w:eastAsia="細明體" w:hAnsi="Book Antiqua"/>
      <w:b/>
      <w:bCs/>
      <w:kern w:val="2"/>
      <w:sz w:val="24"/>
      <w:szCs w:val="24"/>
    </w:rPr>
  </w:style>
  <w:style w:type="character" w:customStyle="1" w:styleId="10">
    <w:name w:val="標題 1 字元"/>
    <w:link w:val="1"/>
    <w:uiPriority w:val="9"/>
    <w:rsid w:val="00E22FCD"/>
    <w:rPr>
      <w:rFonts w:ascii="Tahoma" w:eastAsia="SimSun" w:hAnsi="Tahoma"/>
      <w:b/>
      <w:bCs/>
      <w:kern w:val="32"/>
      <w:sz w:val="32"/>
      <w:szCs w:val="32"/>
      <w:lang w:eastAsia="zh-TW"/>
    </w:rPr>
  </w:style>
  <w:style w:type="character" w:customStyle="1" w:styleId="20">
    <w:name w:val="標題 2 字元"/>
    <w:link w:val="2"/>
    <w:uiPriority w:val="9"/>
    <w:rsid w:val="00E22FCD"/>
    <w:rPr>
      <w:rFonts w:ascii="Tahoma" w:eastAsia="SimSun" w:hAnsi="Tahoma"/>
      <w:b/>
      <w:bCs/>
      <w:iCs/>
      <w:kern w:val="2"/>
      <w:sz w:val="28"/>
      <w:szCs w:val="28"/>
      <w:lang w:eastAsia="zh-TW"/>
    </w:rPr>
  </w:style>
  <w:style w:type="paragraph" w:styleId="af4">
    <w:name w:val="Title"/>
    <w:basedOn w:val="a"/>
    <w:next w:val="a"/>
    <w:link w:val="af5"/>
    <w:uiPriority w:val="10"/>
    <w:qFormat/>
    <w:rsid w:val="00D60DBC"/>
    <w:pPr>
      <w:spacing w:before="240" w:after="60"/>
      <w:jc w:val="center"/>
      <w:outlineLvl w:val="0"/>
    </w:pPr>
    <w:rPr>
      <w:rFonts w:ascii="Calibri Light" w:eastAsia="SimSun" w:hAnsi="Calibri Light"/>
      <w:b/>
      <w:bCs/>
      <w:kern w:val="28"/>
      <w:sz w:val="32"/>
      <w:szCs w:val="32"/>
    </w:rPr>
  </w:style>
  <w:style w:type="character" w:customStyle="1" w:styleId="af5">
    <w:name w:val="標題 字元"/>
    <w:link w:val="af4"/>
    <w:uiPriority w:val="10"/>
    <w:rsid w:val="00D60DBC"/>
    <w:rPr>
      <w:rFonts w:ascii="Calibri Light" w:eastAsia="SimSun" w:hAnsi="Calibri Light" w:cs="Times New Roman"/>
      <w:b/>
      <w:bCs/>
      <w:kern w:val="28"/>
      <w:sz w:val="32"/>
      <w:szCs w:val="32"/>
      <w:lang w:eastAsia="zh-TW"/>
    </w:rPr>
  </w:style>
  <w:style w:type="character" w:styleId="af6">
    <w:name w:val="Emphasis"/>
    <w:uiPriority w:val="20"/>
    <w:qFormat/>
    <w:rsid w:val="00443170"/>
    <w:rPr>
      <w:rFonts w:ascii="Tahoma" w:hAnsi="Tahoma"/>
      <w:b/>
      <w:i w:val="0"/>
      <w:iCs/>
      <w:sz w:val="32"/>
    </w:rPr>
  </w:style>
  <w:style w:type="paragraph" w:customStyle="1" w:styleId="chart2">
    <w:name w:val="chart 2"/>
    <w:basedOn w:val="a"/>
    <w:link w:val="chart2Char"/>
    <w:qFormat/>
    <w:rsid w:val="00787A99"/>
    <w:pPr>
      <w:jc w:val="center"/>
    </w:pPr>
  </w:style>
  <w:style w:type="paragraph" w:styleId="af7">
    <w:name w:val="TOC Heading"/>
    <w:basedOn w:val="1"/>
    <w:next w:val="a"/>
    <w:uiPriority w:val="39"/>
    <w:unhideWhenUsed/>
    <w:qFormat/>
    <w:rsid w:val="004448D6"/>
    <w:pPr>
      <w:keepLines/>
      <w:widowControl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eastAsia="en-US"/>
    </w:rPr>
  </w:style>
  <w:style w:type="character" w:customStyle="1" w:styleId="chart2Char">
    <w:name w:val="chart 2 Char"/>
    <w:link w:val="chart2"/>
    <w:rsid w:val="00787A99"/>
    <w:rPr>
      <w:rFonts w:ascii="Tahoma" w:eastAsia="細明體" w:hAnsi="Tahoma"/>
      <w:kern w:val="2"/>
      <w:sz w:val="24"/>
      <w:szCs w:val="24"/>
      <w:lang w:eastAsia="zh-TW"/>
    </w:rPr>
  </w:style>
  <w:style w:type="paragraph" w:styleId="13">
    <w:name w:val="toc 1"/>
    <w:basedOn w:val="a"/>
    <w:next w:val="a"/>
    <w:autoRedefine/>
    <w:uiPriority w:val="39"/>
    <w:unhideWhenUsed/>
    <w:rsid w:val="00EA274A"/>
    <w:pPr>
      <w:tabs>
        <w:tab w:val="right" w:leader="dot" w:pos="8990"/>
      </w:tabs>
    </w:pPr>
    <w:rPr>
      <w:noProof/>
    </w:rPr>
  </w:style>
  <w:style w:type="paragraph" w:styleId="21">
    <w:name w:val="toc 2"/>
    <w:basedOn w:val="a"/>
    <w:next w:val="a"/>
    <w:autoRedefine/>
    <w:uiPriority w:val="39"/>
    <w:unhideWhenUsed/>
    <w:rsid w:val="004448D6"/>
    <w:pPr>
      <w:ind w:left="240"/>
    </w:pPr>
  </w:style>
  <w:style w:type="table" w:styleId="af8">
    <w:name w:val="Table Grid"/>
    <w:basedOn w:val="a1"/>
    <w:uiPriority w:val="59"/>
    <w:rsid w:val="00754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FCD"/>
    <w:pPr>
      <w:widowControl w:val="0"/>
      <w:jc w:val="both"/>
    </w:pPr>
    <w:rPr>
      <w:rFonts w:ascii="Tahoma" w:eastAsia="細明體" w:hAnsi="Tahoma"/>
      <w:kern w:val="2"/>
      <w:sz w:val="24"/>
      <w:szCs w:val="24"/>
      <w:lang w:eastAsia="zh-TW"/>
    </w:rPr>
  </w:style>
  <w:style w:type="paragraph" w:styleId="1">
    <w:name w:val="heading 1"/>
    <w:basedOn w:val="a"/>
    <w:next w:val="a"/>
    <w:link w:val="10"/>
    <w:uiPriority w:val="9"/>
    <w:qFormat/>
    <w:rsid w:val="00E22FCD"/>
    <w:pPr>
      <w:keepNext/>
      <w:spacing w:before="240" w:after="60"/>
      <w:jc w:val="left"/>
      <w:outlineLvl w:val="0"/>
    </w:pPr>
    <w:rPr>
      <w:rFonts w:eastAsia="SimSu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22FCD"/>
    <w:pPr>
      <w:keepNext/>
      <w:spacing w:before="240" w:after="60"/>
      <w:jc w:val="left"/>
      <w:outlineLvl w:val="1"/>
    </w:pPr>
    <w:rPr>
      <w:rFonts w:eastAsia="SimSu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D1832"/>
    <w:rPr>
      <w:rFonts w:ascii="Times New Roman" w:eastAsia="新細明體" w:hAnsi="Times New Roman"/>
      <w:b/>
      <w:smallCaps/>
      <w:position w:val="-12"/>
      <w:sz w:val="26"/>
      <w:szCs w:val="20"/>
    </w:rPr>
  </w:style>
  <w:style w:type="paragraph" w:styleId="a4">
    <w:name w:val="footer"/>
    <w:basedOn w:val="a"/>
    <w:rsid w:val="009D1832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/>
      <w:sz w:val="20"/>
      <w:szCs w:val="20"/>
    </w:rPr>
  </w:style>
  <w:style w:type="character" w:styleId="a5">
    <w:name w:val="page number"/>
    <w:basedOn w:val="a0"/>
    <w:rsid w:val="009D1832"/>
  </w:style>
  <w:style w:type="paragraph" w:styleId="a6">
    <w:name w:val="Plain Text"/>
    <w:aliases w:val=" 字元"/>
    <w:basedOn w:val="a"/>
    <w:link w:val="a7"/>
    <w:uiPriority w:val="99"/>
    <w:rsid w:val="00796C76"/>
    <w:pPr>
      <w:widowControl/>
    </w:pPr>
    <w:rPr>
      <w:rFonts w:ascii="Courier New" w:eastAsia="新細明體" w:hAnsi="Courier New" w:cs="Courier New"/>
      <w:kern w:val="0"/>
      <w:sz w:val="20"/>
      <w:szCs w:val="20"/>
      <w:lang w:eastAsia="en-US"/>
    </w:rPr>
  </w:style>
  <w:style w:type="character" w:styleId="a8">
    <w:name w:val="Strong"/>
    <w:qFormat/>
    <w:rsid w:val="003E5705"/>
    <w:rPr>
      <w:b/>
      <w:bCs/>
    </w:rPr>
  </w:style>
  <w:style w:type="paragraph" w:customStyle="1" w:styleId="WW-NormalWeb">
    <w:name w:val="WW-Normal (Web)"/>
    <w:basedOn w:val="a"/>
    <w:rsid w:val="003E5705"/>
    <w:pPr>
      <w:widowControl/>
      <w:suppressAutoHyphens/>
      <w:spacing w:before="100" w:after="100"/>
    </w:pPr>
    <w:rPr>
      <w:rFonts w:ascii="新細明體" w:eastAsia="新細明體" w:hAnsi="新細明體" w:hint="eastAsia"/>
      <w:kern w:val="0"/>
      <w:szCs w:val="20"/>
      <w:lang w:eastAsia="zh-CN"/>
    </w:rPr>
  </w:style>
  <w:style w:type="character" w:styleId="a9">
    <w:name w:val="Hyperlink"/>
    <w:uiPriority w:val="99"/>
    <w:rsid w:val="002C62F4"/>
    <w:rPr>
      <w:color w:val="0000FF"/>
      <w:u w:val="single"/>
    </w:rPr>
  </w:style>
  <w:style w:type="paragraph" w:styleId="aa">
    <w:name w:val="Date"/>
    <w:basedOn w:val="a"/>
    <w:next w:val="a"/>
    <w:rsid w:val="00617739"/>
    <w:pPr>
      <w:jc w:val="right"/>
    </w:pPr>
  </w:style>
  <w:style w:type="paragraph" w:styleId="ab">
    <w:name w:val="Balloon Text"/>
    <w:basedOn w:val="a"/>
    <w:semiHidden/>
    <w:rsid w:val="00D04B97"/>
    <w:rPr>
      <w:rFonts w:ascii="Arial" w:eastAsia="新細明體" w:hAnsi="Arial"/>
      <w:sz w:val="18"/>
      <w:szCs w:val="18"/>
    </w:rPr>
  </w:style>
  <w:style w:type="character" w:customStyle="1" w:styleId="11">
    <w:name w:val="超連結1"/>
    <w:rsid w:val="00B57CA8"/>
    <w:rPr>
      <w:rFonts w:ascii="Garamond" w:hAnsi="Garamond" w:hint="default"/>
      <w:strike w:val="0"/>
      <w:dstrike w:val="0"/>
      <w:color w:val="6B0000"/>
      <w:sz w:val="18"/>
      <w:szCs w:val="18"/>
      <w:u w:val="none"/>
      <w:effect w:val="none"/>
    </w:rPr>
  </w:style>
  <w:style w:type="character" w:customStyle="1" w:styleId="a7">
    <w:name w:val="純文字 字元"/>
    <w:aliases w:val=" 字元 字元"/>
    <w:link w:val="a6"/>
    <w:uiPriority w:val="99"/>
    <w:rsid w:val="008E578F"/>
    <w:rPr>
      <w:rFonts w:ascii="Courier New" w:eastAsia="新細明體" w:hAnsi="Courier New" w:cs="Courier New"/>
      <w:lang w:val="en-US" w:eastAsia="en-US" w:bidi="ar-SA"/>
    </w:rPr>
  </w:style>
  <w:style w:type="paragraph" w:customStyle="1" w:styleId="12">
    <w:name w:val="清單段落1"/>
    <w:basedOn w:val="a"/>
    <w:qFormat/>
    <w:rsid w:val="008E578F"/>
    <w:pPr>
      <w:widowControl/>
      <w:ind w:left="720"/>
    </w:pPr>
    <w:rPr>
      <w:rFonts w:ascii="Times New Roman" w:eastAsia="新細明體" w:hAnsi="Times New Roman"/>
      <w:kern w:val="0"/>
      <w:sz w:val="20"/>
      <w:szCs w:val="20"/>
      <w:lang w:eastAsia="en-US"/>
    </w:rPr>
  </w:style>
  <w:style w:type="paragraph" w:styleId="ac">
    <w:name w:val="header"/>
    <w:basedOn w:val="a"/>
    <w:link w:val="ad"/>
    <w:uiPriority w:val="99"/>
    <w:unhideWhenUsed/>
    <w:rsid w:val="00251962"/>
    <w:pPr>
      <w:tabs>
        <w:tab w:val="center" w:pos="4320"/>
        <w:tab w:val="right" w:pos="8640"/>
      </w:tabs>
    </w:pPr>
  </w:style>
  <w:style w:type="character" w:customStyle="1" w:styleId="ad">
    <w:name w:val="頁首 字元"/>
    <w:link w:val="ac"/>
    <w:uiPriority w:val="99"/>
    <w:rsid w:val="00251962"/>
    <w:rPr>
      <w:rFonts w:ascii="Book Antiqua" w:eastAsia="細明體" w:hAnsi="Book Antiqua"/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BE3947"/>
    <w:pPr>
      <w:ind w:leftChars="200" w:left="480"/>
    </w:pPr>
  </w:style>
  <w:style w:type="character" w:styleId="af">
    <w:name w:val="annotation reference"/>
    <w:uiPriority w:val="99"/>
    <w:semiHidden/>
    <w:unhideWhenUsed/>
    <w:rsid w:val="0020027F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20027F"/>
  </w:style>
  <w:style w:type="character" w:customStyle="1" w:styleId="af1">
    <w:name w:val="註解文字 字元"/>
    <w:link w:val="af0"/>
    <w:uiPriority w:val="99"/>
    <w:semiHidden/>
    <w:rsid w:val="0020027F"/>
    <w:rPr>
      <w:rFonts w:ascii="Book Antiqua" w:eastAsia="細明體" w:hAnsi="Book Antiqua"/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0027F"/>
    <w:rPr>
      <w:b/>
      <w:bCs/>
    </w:rPr>
  </w:style>
  <w:style w:type="character" w:customStyle="1" w:styleId="af3">
    <w:name w:val="註解主旨 字元"/>
    <w:link w:val="af2"/>
    <w:uiPriority w:val="99"/>
    <w:semiHidden/>
    <w:rsid w:val="0020027F"/>
    <w:rPr>
      <w:rFonts w:ascii="Book Antiqua" w:eastAsia="細明體" w:hAnsi="Book Antiqua"/>
      <w:b/>
      <w:bCs/>
      <w:kern w:val="2"/>
      <w:sz w:val="24"/>
      <w:szCs w:val="24"/>
    </w:rPr>
  </w:style>
  <w:style w:type="character" w:customStyle="1" w:styleId="10">
    <w:name w:val="標題 1 字元"/>
    <w:link w:val="1"/>
    <w:uiPriority w:val="9"/>
    <w:rsid w:val="00E22FCD"/>
    <w:rPr>
      <w:rFonts w:ascii="Tahoma" w:eastAsia="SimSun" w:hAnsi="Tahoma"/>
      <w:b/>
      <w:bCs/>
      <w:kern w:val="32"/>
      <w:sz w:val="32"/>
      <w:szCs w:val="32"/>
      <w:lang w:eastAsia="zh-TW"/>
    </w:rPr>
  </w:style>
  <w:style w:type="character" w:customStyle="1" w:styleId="20">
    <w:name w:val="標題 2 字元"/>
    <w:link w:val="2"/>
    <w:uiPriority w:val="9"/>
    <w:rsid w:val="00E22FCD"/>
    <w:rPr>
      <w:rFonts w:ascii="Tahoma" w:eastAsia="SimSun" w:hAnsi="Tahoma"/>
      <w:b/>
      <w:bCs/>
      <w:iCs/>
      <w:kern w:val="2"/>
      <w:sz w:val="28"/>
      <w:szCs w:val="28"/>
      <w:lang w:eastAsia="zh-TW"/>
    </w:rPr>
  </w:style>
  <w:style w:type="paragraph" w:styleId="af4">
    <w:name w:val="Title"/>
    <w:basedOn w:val="a"/>
    <w:next w:val="a"/>
    <w:link w:val="af5"/>
    <w:uiPriority w:val="10"/>
    <w:qFormat/>
    <w:rsid w:val="00D60DBC"/>
    <w:pPr>
      <w:spacing w:before="240" w:after="60"/>
      <w:jc w:val="center"/>
      <w:outlineLvl w:val="0"/>
    </w:pPr>
    <w:rPr>
      <w:rFonts w:ascii="Calibri Light" w:eastAsia="SimSun" w:hAnsi="Calibri Light"/>
      <w:b/>
      <w:bCs/>
      <w:kern w:val="28"/>
      <w:sz w:val="32"/>
      <w:szCs w:val="32"/>
    </w:rPr>
  </w:style>
  <w:style w:type="character" w:customStyle="1" w:styleId="af5">
    <w:name w:val="標題 字元"/>
    <w:link w:val="af4"/>
    <w:uiPriority w:val="10"/>
    <w:rsid w:val="00D60DBC"/>
    <w:rPr>
      <w:rFonts w:ascii="Calibri Light" w:eastAsia="SimSun" w:hAnsi="Calibri Light" w:cs="Times New Roman"/>
      <w:b/>
      <w:bCs/>
      <w:kern w:val="28"/>
      <w:sz w:val="32"/>
      <w:szCs w:val="32"/>
      <w:lang w:eastAsia="zh-TW"/>
    </w:rPr>
  </w:style>
  <w:style w:type="character" w:styleId="af6">
    <w:name w:val="Emphasis"/>
    <w:uiPriority w:val="20"/>
    <w:qFormat/>
    <w:rsid w:val="00443170"/>
    <w:rPr>
      <w:rFonts w:ascii="Tahoma" w:hAnsi="Tahoma"/>
      <w:b/>
      <w:i w:val="0"/>
      <w:iCs/>
      <w:sz w:val="32"/>
    </w:rPr>
  </w:style>
  <w:style w:type="paragraph" w:customStyle="1" w:styleId="chart2">
    <w:name w:val="chart 2"/>
    <w:basedOn w:val="a"/>
    <w:link w:val="chart2Char"/>
    <w:qFormat/>
    <w:rsid w:val="00787A99"/>
    <w:pPr>
      <w:jc w:val="center"/>
    </w:pPr>
  </w:style>
  <w:style w:type="paragraph" w:styleId="af7">
    <w:name w:val="TOC Heading"/>
    <w:basedOn w:val="1"/>
    <w:next w:val="a"/>
    <w:uiPriority w:val="39"/>
    <w:unhideWhenUsed/>
    <w:qFormat/>
    <w:rsid w:val="004448D6"/>
    <w:pPr>
      <w:keepLines/>
      <w:widowControl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eastAsia="en-US"/>
    </w:rPr>
  </w:style>
  <w:style w:type="character" w:customStyle="1" w:styleId="chart2Char">
    <w:name w:val="chart 2 Char"/>
    <w:link w:val="chart2"/>
    <w:rsid w:val="00787A99"/>
    <w:rPr>
      <w:rFonts w:ascii="Tahoma" w:eastAsia="細明體" w:hAnsi="Tahoma"/>
      <w:kern w:val="2"/>
      <w:sz w:val="24"/>
      <w:szCs w:val="24"/>
      <w:lang w:eastAsia="zh-TW"/>
    </w:rPr>
  </w:style>
  <w:style w:type="paragraph" w:styleId="13">
    <w:name w:val="toc 1"/>
    <w:basedOn w:val="a"/>
    <w:next w:val="a"/>
    <w:autoRedefine/>
    <w:uiPriority w:val="39"/>
    <w:unhideWhenUsed/>
    <w:rsid w:val="00EA274A"/>
    <w:pPr>
      <w:tabs>
        <w:tab w:val="right" w:leader="dot" w:pos="8990"/>
      </w:tabs>
    </w:pPr>
    <w:rPr>
      <w:noProof/>
    </w:rPr>
  </w:style>
  <w:style w:type="paragraph" w:styleId="21">
    <w:name w:val="toc 2"/>
    <w:basedOn w:val="a"/>
    <w:next w:val="a"/>
    <w:autoRedefine/>
    <w:uiPriority w:val="39"/>
    <w:unhideWhenUsed/>
    <w:rsid w:val="004448D6"/>
    <w:pPr>
      <w:ind w:left="240"/>
    </w:pPr>
  </w:style>
  <w:style w:type="table" w:styleId="af8">
    <w:name w:val="Table Grid"/>
    <w:basedOn w:val="a1"/>
    <w:uiPriority w:val="59"/>
    <w:rsid w:val="00754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7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chart" Target="charts/chart8.xml"/><Relationship Id="rId3" Type="http://schemas.openxmlformats.org/officeDocument/2006/relationships/styles" Target="styles.xml"/><Relationship Id="rId21" Type="http://schemas.openxmlformats.org/officeDocument/2006/relationships/hyperlink" Target="mailto:info@hiebs.hku.hk" TargetMode="External"/><Relationship Id="rId7" Type="http://schemas.openxmlformats.org/officeDocument/2006/relationships/footnotes" Target="footnotes.xml"/><Relationship Id="rId12" Type="http://schemas.openxmlformats.org/officeDocument/2006/relationships/chart" Target="charts/chart2.xml"/><Relationship Id="rId17" Type="http://schemas.openxmlformats.org/officeDocument/2006/relationships/chart" Target="charts/chart7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6.xml"/><Relationship Id="rId20" Type="http://schemas.openxmlformats.org/officeDocument/2006/relationships/chart" Target="charts/chart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hart" Target="charts/chart5.xml"/><Relationship Id="rId23" Type="http://schemas.openxmlformats.org/officeDocument/2006/relationships/footer" Target="footer2.xml"/><Relationship Id="rId10" Type="http://schemas.openxmlformats.org/officeDocument/2006/relationships/chart" Target="charts/chart1.xml"/><Relationship Id="rId19" Type="http://schemas.openxmlformats.org/officeDocument/2006/relationships/chart" Target="charts/chart9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hart" Target="charts/chart4.xml"/><Relationship Id="rId22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oleObject" Target="file:///C:\Users\tmpuser\AppData\Local\Microsoft\Windows\Temporary%20Internet%20Files\Content.Outlook\K32SQOSB\Graphs4a.xlsm" TargetMode="External"/><Relationship Id="rId1" Type="http://schemas.openxmlformats.org/officeDocument/2006/relationships/themeOverride" Target="../theme/themeOverride10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../embeddings/oleObject2.bin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../embeddings/oleObject3.bin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oleObject" Target="../embeddings/oleObject4.bin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oleObject" Target="../embeddings/oleObject5.bin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oleObject" Target="file:///D:\Users\william\Desktop\Graphs4a.xlsm" TargetMode="External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oleObject" Target="file:///D:\Users\william\Desktop\Graphs4a.xlsm" TargetMode="External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oleObject" Target="file:///D:\Users\william\Desktop\Graphs4a.xlsm" TargetMode="External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oleObject" Target="file:///C:\Users\tmpuser\AppData\Local\Microsoft\Windows\Temporary%20Internet%20Files\Content.Outlook\K32SQOSB\Graphs4a.xlsm" TargetMode="External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HK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anchor="t" anchorCtr="1"/>
          <a:lstStyle/>
          <a:p>
            <a:pPr>
              <a:defRPr sz="1048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zh-CN" altLang="en-US"/>
              <a:t>實質本地生產總值</a:t>
            </a:r>
            <a:endParaRPr lang="en-US" altLang="zh-CN"/>
          </a:p>
          <a:p>
            <a:pPr>
              <a:defRPr sz="1048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zh-CN" altLang="en-US" sz="900"/>
              <a:t>每年轉變 </a:t>
            </a:r>
            <a:r>
              <a:rPr lang="en-US" altLang="zh-CN" sz="900"/>
              <a:t>(</a:t>
            </a:r>
            <a:r>
              <a:rPr lang="zh-CN" altLang="en-US" sz="900"/>
              <a:t>百分比</a:t>
            </a:r>
            <a:r>
              <a:rPr lang="en-US" altLang="zh-CN" sz="900"/>
              <a:t>, </a:t>
            </a:r>
            <a:r>
              <a:rPr lang="zh-CN" altLang="en-US" sz="900"/>
              <a:t>以</a:t>
            </a:r>
            <a:r>
              <a:rPr lang="en-US" altLang="zh-CN" sz="900"/>
              <a:t>2012</a:t>
            </a:r>
            <a:r>
              <a:rPr lang="zh-CN" altLang="en-US" sz="900"/>
              <a:t>年價為基礎</a:t>
            </a:r>
            <a:r>
              <a:rPr lang="en-US" altLang="zh-CN" sz="900"/>
              <a:t>)</a:t>
            </a:r>
            <a:endParaRPr lang="en-US" sz="900"/>
          </a:p>
        </c:rich>
      </c:tx>
      <c:layout>
        <c:manualLayout>
          <c:xMode val="edge"/>
          <c:yMode val="edge"/>
          <c:x val="0.32429763779527565"/>
          <c:y val="1.215231883675946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2359965004374453"/>
          <c:y val="0.1362858664038975"/>
          <c:w val="0.8348503937007874"/>
          <c:h val="0.68112103500337273"/>
        </c:manualLayout>
      </c:layout>
      <c:barChart>
        <c:barDir val="col"/>
        <c:grouping val="clustered"/>
        <c:varyColors val="1"/>
        <c:ser>
          <c:idx val="0"/>
          <c:order val="0"/>
          <c:spPr>
            <a:solidFill>
              <a:srgbClr val="0070C0"/>
            </a:solidFill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Pt>
            <c:idx val="2"/>
            <c:invertIfNegative val="0"/>
            <c:bubble3D val="0"/>
          </c:dPt>
          <c:dPt>
            <c:idx val="3"/>
            <c:invertIfNegative val="0"/>
            <c:bubble3D val="0"/>
          </c:dPt>
          <c:dPt>
            <c:idx val="4"/>
            <c:invertIfNegative val="0"/>
            <c:bubble3D val="0"/>
          </c:dPt>
          <c:dPt>
            <c:idx val="5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8"/>
            <c:invertIfNegative val="0"/>
            <c:bubble3D val="0"/>
          </c:dPt>
          <c:dPt>
            <c:idx val="9"/>
            <c:invertIfNegative val="0"/>
            <c:bubble3D val="0"/>
          </c:dPt>
          <c:dPt>
            <c:idx val="10"/>
            <c:invertIfNegative val="0"/>
            <c:bubble3D val="0"/>
          </c:dPt>
          <c:dPt>
            <c:idx val="11"/>
            <c:invertIfNegative val="0"/>
            <c:bubble3D val="0"/>
          </c:dPt>
          <c:dPt>
            <c:idx val="12"/>
            <c:invertIfNegative val="0"/>
            <c:bubble3D val="0"/>
          </c:dPt>
          <c:dPt>
            <c:idx val="13"/>
            <c:invertIfNegative val="0"/>
            <c:bubble3D val="0"/>
          </c:dPt>
          <c:dPt>
            <c:idx val="14"/>
            <c:invertIfNegative val="0"/>
            <c:bubble3D val="0"/>
          </c:dPt>
          <c:dPt>
            <c:idx val="15"/>
            <c:invertIfNegative val="0"/>
            <c:bubble3D val="0"/>
          </c:dPt>
          <c:dPt>
            <c:idx val="16"/>
            <c:invertIfNegative val="0"/>
            <c:bubble3D val="0"/>
          </c:dPt>
          <c:dPt>
            <c:idx val="17"/>
            <c:invertIfNegative val="0"/>
            <c:bubble3D val="0"/>
          </c:dPt>
          <c:dPt>
            <c:idx val="18"/>
            <c:invertIfNegative val="0"/>
            <c:bubble3D val="0"/>
          </c:dPt>
          <c:dPt>
            <c:idx val="19"/>
            <c:invertIfNegative val="0"/>
            <c:bubble3D val="0"/>
          </c:dPt>
          <c:dPt>
            <c:idx val="20"/>
            <c:invertIfNegative val="0"/>
            <c:bubble3D val="0"/>
          </c:dPt>
          <c:dPt>
            <c:idx val="21"/>
            <c:invertIfNegative val="0"/>
            <c:bubble3D val="0"/>
          </c:dPt>
          <c:dPt>
            <c:idx val="22"/>
            <c:invertIfNegative val="0"/>
            <c:bubble3D val="0"/>
          </c:dPt>
          <c:dPt>
            <c:idx val="23"/>
            <c:invertIfNegative val="0"/>
            <c:bubble3D val="0"/>
          </c:dPt>
          <c:dPt>
            <c:idx val="24"/>
            <c:invertIfNegative val="0"/>
            <c:bubble3D val="0"/>
          </c:dPt>
          <c:dPt>
            <c:idx val="25"/>
            <c:invertIfNegative val="0"/>
            <c:bubble3D val="0"/>
          </c:dPt>
          <c:dPt>
            <c:idx val="26"/>
            <c:invertIfNegative val="0"/>
            <c:bubble3D val="0"/>
          </c:dPt>
          <c:dPt>
            <c:idx val="27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28"/>
            <c:invertIfNegative val="0"/>
            <c:bubble3D val="0"/>
            <c:spPr>
              <a:solidFill>
                <a:srgbClr val="FF0000"/>
              </a:solidFill>
            </c:spPr>
          </c:dPt>
          <c:dLbls>
            <c:dLbl>
              <c:idx val="37"/>
              <c:layout>
                <c:manualLayout>
                  <c:x val="0"/>
                  <c:y val="-1.2444444444444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8"/>
              <c:layout>
                <c:manualLayout>
                  <c:x val="0"/>
                  <c:y val="-8.88888888888882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9"/>
              <c:layout>
                <c:manualLayout>
                  <c:x val="0"/>
                  <c:y val="-3.555555555555620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0"/>
              <c:layout>
                <c:manualLayout>
                  <c:x val="0"/>
                  <c:y val="3.555555555555555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9"/>
              <c:layout>
                <c:manualLayout>
                  <c:x val="0"/>
                  <c:y val="-1.2444444444444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1"/>
              <c:layout>
                <c:manualLayout>
                  <c:x val="1.2472715933894605E-3"/>
                  <c:y val="-1.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70">
                <a:noFill/>
              </a:ln>
            </c:spPr>
            <c:txPr>
              <a:bodyPr/>
              <a:lstStyle/>
              <a:p>
                <a:pPr>
                  <a:defRPr sz="800">
                    <a:solidFill>
                      <a:srgbClr val="00206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endParaRPr lang="zh-H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'[Graphs4a.xlsm]data (2)'!$B$122:$B$170</c:f>
              <c:strCache>
                <c:ptCount val="29"/>
                <c:pt idx="0">
                  <c:v>08Q1</c:v>
                </c:pt>
                <c:pt idx="1">
                  <c:v>08Q2</c:v>
                </c:pt>
                <c:pt idx="2">
                  <c:v>08Q3</c:v>
                </c:pt>
                <c:pt idx="3">
                  <c:v>08Q4</c:v>
                </c:pt>
                <c:pt idx="4">
                  <c:v>09Q1</c:v>
                </c:pt>
                <c:pt idx="5">
                  <c:v>09Q2</c:v>
                </c:pt>
                <c:pt idx="6">
                  <c:v>09Q3</c:v>
                </c:pt>
                <c:pt idx="7">
                  <c:v>09Q4</c:v>
                </c:pt>
                <c:pt idx="8">
                  <c:v>10Q1</c:v>
                </c:pt>
                <c:pt idx="9">
                  <c:v>10Q2</c:v>
                </c:pt>
                <c:pt idx="10">
                  <c:v>10Q3</c:v>
                </c:pt>
                <c:pt idx="11">
                  <c:v>10Q4</c:v>
                </c:pt>
                <c:pt idx="12">
                  <c:v>11Q1</c:v>
                </c:pt>
                <c:pt idx="13">
                  <c:v>11Q2</c:v>
                </c:pt>
                <c:pt idx="14">
                  <c:v>11Q3</c:v>
                </c:pt>
                <c:pt idx="15">
                  <c:v>11Q4</c:v>
                </c:pt>
                <c:pt idx="16">
                  <c:v>12Q1</c:v>
                </c:pt>
                <c:pt idx="17">
                  <c:v>12Q2</c:v>
                </c:pt>
                <c:pt idx="18">
                  <c:v>12Q3</c:v>
                </c:pt>
                <c:pt idx="19">
                  <c:v>12Q4</c:v>
                </c:pt>
                <c:pt idx="20">
                  <c:v>13Q1</c:v>
                </c:pt>
                <c:pt idx="21">
                  <c:v>13Q2</c:v>
                </c:pt>
                <c:pt idx="22">
                  <c:v>13Q3</c:v>
                </c:pt>
                <c:pt idx="23">
                  <c:v>13Q4</c:v>
                </c:pt>
                <c:pt idx="24">
                  <c:v>14Q1</c:v>
                </c:pt>
                <c:pt idx="25">
                  <c:v>14Q2</c:v>
                </c:pt>
                <c:pt idx="26">
                  <c:v>14Q3</c:v>
                </c:pt>
                <c:pt idx="27">
                  <c:v>14Q4</c:v>
                </c:pt>
                <c:pt idx="28">
                  <c:v>15Q1</c:v>
                </c:pt>
              </c:strCache>
            </c:strRef>
          </c:cat>
          <c:val>
            <c:numRef>
              <c:f>'[Graphs4a.xlsm]data (2)'!$C$122:$C$170</c:f>
              <c:numCache>
                <c:formatCode>0.0</c:formatCode>
                <c:ptCount val="29"/>
                <c:pt idx="0">
                  <c:v>7.0355907882665658</c:v>
                </c:pt>
                <c:pt idx="1">
                  <c:v>4.004309191533717</c:v>
                </c:pt>
                <c:pt idx="2">
                  <c:v>0.94420508168928663</c:v>
                </c:pt>
                <c:pt idx="3">
                  <c:v>-2.6848691226668775</c:v>
                </c:pt>
                <c:pt idx="4">
                  <c:v>-7.7647307035530355</c:v>
                </c:pt>
                <c:pt idx="5">
                  <c:v>-3.0758676406538066</c:v>
                </c:pt>
                <c:pt idx="6">
                  <c:v>-1.6948826183604493</c:v>
                </c:pt>
                <c:pt idx="7">
                  <c:v>2.470587986400985</c:v>
                </c:pt>
                <c:pt idx="8">
                  <c:v>7.9289853414917788</c:v>
                </c:pt>
                <c:pt idx="9">
                  <c:v>6.3783914672279396</c:v>
                </c:pt>
                <c:pt idx="10">
                  <c:v>6.5209963328509035</c:v>
                </c:pt>
                <c:pt idx="11">
                  <c:v>6.3405449263872482</c:v>
                </c:pt>
                <c:pt idx="12">
                  <c:v>7.5641605863587591</c:v>
                </c:pt>
                <c:pt idx="13">
                  <c:v>5.0679372805827239</c:v>
                </c:pt>
                <c:pt idx="14">
                  <c:v>3.9070544776973248</c:v>
                </c:pt>
                <c:pt idx="15">
                  <c:v>2.9283398373036729</c:v>
                </c:pt>
                <c:pt idx="16">
                  <c:v>0.73743709310629679</c:v>
                </c:pt>
                <c:pt idx="17">
                  <c:v>0.848250275493867</c:v>
                </c:pt>
                <c:pt idx="18">
                  <c:v>1.6021361815754309</c:v>
                </c:pt>
                <c:pt idx="19">
                  <c:v>2.8769053461925154</c:v>
                </c:pt>
                <c:pt idx="20">
                  <c:v>2.9299887331634134</c:v>
                </c:pt>
                <c:pt idx="21">
                  <c:v>2.9651800487070279</c:v>
                </c:pt>
                <c:pt idx="22">
                  <c:v>2.9681509679342133</c:v>
                </c:pt>
                <c:pt idx="23">
                  <c:v>2.8710774562022756</c:v>
                </c:pt>
                <c:pt idx="24">
                  <c:v>2.5510587844070232</c:v>
                </c:pt>
                <c:pt idx="25">
                  <c:v>1.8091214386307009</c:v>
                </c:pt>
                <c:pt idx="26">
                  <c:v>2.7408769001759259</c:v>
                </c:pt>
                <c:pt idx="27">
                  <c:v>2.5304571277649179</c:v>
                </c:pt>
                <c:pt idx="28">
                  <c:v>2.3542576033756646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192697472"/>
        <c:axId val="192699008"/>
      </c:barChart>
      <c:barChart>
        <c:barDir val="col"/>
        <c:grouping val="clustered"/>
        <c:varyColors val="1"/>
        <c:ser>
          <c:idx val="1"/>
          <c:order val="1"/>
          <c:spPr>
            <a:solidFill>
              <a:srgbClr val="8064A2">
                <a:lumMod val="20000"/>
                <a:lumOff val="80000"/>
                <a:alpha val="47000"/>
              </a:srgbClr>
            </a:solidFill>
            <a:ln>
              <a:noFill/>
            </a:ln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/>
          </c:spPr>
          <c:invertIfNegative val="0"/>
          <c:val>
            <c:numRef>
              <c:f>'[Graphs4a.xlsm]data (2)'!$A$122:$A$170</c:f>
              <c:numCache>
                <c:formatCode>General</c:formatCode>
                <c:ptCount val="29"/>
                <c:pt idx="24" formatCode="g/&quot;通&quot;&quot;用&quot;&quot;格&quot;&quot;式&quot;">
                  <c:v>1</c:v>
                </c:pt>
                <c:pt idx="25" formatCode="g/&quot;通&quot;&quot;用&quot;&quot;格&quot;&quot;式&quot;">
                  <c:v>1</c:v>
                </c:pt>
                <c:pt idx="26" formatCode="g/&quot;通&quot;&quot;用&quot;&quot;格&quot;&quot;式&quot;">
                  <c:v>1</c:v>
                </c:pt>
                <c:pt idx="27" formatCode="g/&quot;通&quot;&quot;用&quot;&quot;格&quot;&quot;式&quot;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-4"/>
        <c:axId val="192710912"/>
        <c:axId val="192709376"/>
      </c:barChart>
      <c:catAx>
        <c:axId val="192697472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txPr>
          <a:bodyPr rot="-5400000" vert="horz"/>
          <a:lstStyle/>
          <a:p>
            <a:pPr>
              <a:defRPr sz="900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zh-HK"/>
          </a:p>
        </c:txPr>
        <c:crossAx val="192699008"/>
        <c:crosses val="autoZero"/>
        <c:auto val="0"/>
        <c:lblAlgn val="ctr"/>
        <c:lblOffset val="0"/>
        <c:tickLblSkip val="1"/>
        <c:tickMarkSkip val="1"/>
        <c:noMultiLvlLbl val="0"/>
      </c:catAx>
      <c:valAx>
        <c:axId val="192699008"/>
        <c:scaling>
          <c:orientation val="minMax"/>
        </c:scaling>
        <c:delete val="0"/>
        <c:axPos val="l"/>
        <c:majorGridlines>
          <c:spPr>
            <a:ln>
              <a:gradFill>
                <a:gsLst>
                  <a:gs pos="0">
                    <a:srgbClr val="5B9BD5">
                      <a:lumMod val="5000"/>
                      <a:lumOff val="95000"/>
                    </a:srgbClr>
                  </a:gs>
                  <a:gs pos="74000">
                    <a:srgbClr val="5B9BD5">
                      <a:lumMod val="45000"/>
                      <a:lumOff val="55000"/>
                    </a:srgbClr>
                  </a:gs>
                  <a:gs pos="83000">
                    <a:srgbClr val="5B9BD5">
                      <a:lumMod val="45000"/>
                      <a:lumOff val="55000"/>
                    </a:srgbClr>
                  </a:gs>
                  <a:gs pos="100000">
                    <a:srgbClr val="5B9BD5">
                      <a:lumMod val="30000"/>
                      <a:lumOff val="70000"/>
                    </a:srgbClr>
                  </a:gs>
                </a:gsLst>
                <a:lin ang="5400000" scaled="1"/>
              </a:gradFill>
              <a:prstDash val="solid"/>
            </a:ln>
          </c:spPr>
        </c:majorGridlines>
        <c:title>
          <c:tx>
            <c:rich>
              <a:bodyPr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900" b="1" i="0" u="none" strike="noStrike" kern="1200" baseline="0">
                    <a:solidFill>
                      <a:srgbClr val="00206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r>
                  <a:rPr lang="en-US"/>
                  <a:t>year-on-year percentage</a:t>
                </a:r>
              </a:p>
            </c:rich>
          </c:tx>
          <c:layout>
            <c:manualLayout>
              <c:xMode val="edge"/>
              <c:yMode val="edge"/>
              <c:x val="1.2957697529188163E-2"/>
              <c:y val="0.22562253352535208"/>
            </c:manualLayout>
          </c:layout>
          <c:overlay val="0"/>
        </c:title>
        <c:numFmt formatCode="0.0" sourceLinked="1"/>
        <c:majorTickMark val="cross"/>
        <c:minorTickMark val="none"/>
        <c:tickLblPos val="nextTo"/>
        <c:txPr>
          <a:bodyPr rot="0" vert="horz"/>
          <a:lstStyle/>
          <a:p>
            <a:pPr>
              <a:defRPr sz="900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zh-HK"/>
          </a:p>
        </c:txPr>
        <c:crossAx val="192697472"/>
        <c:crosses val="autoZero"/>
        <c:crossBetween val="between"/>
      </c:valAx>
      <c:valAx>
        <c:axId val="192709376"/>
        <c:scaling>
          <c:orientation val="minMax"/>
          <c:max val="1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>
                <a:solidFill>
                  <a:schemeClr val="bg1"/>
                </a:solidFill>
              </a:defRPr>
            </a:pPr>
            <a:endParaRPr lang="zh-HK"/>
          </a:p>
        </c:txPr>
        <c:crossAx val="192710912"/>
        <c:crosses val="max"/>
        <c:crossBetween val="between"/>
        <c:majorUnit val="1"/>
      </c:valAx>
      <c:catAx>
        <c:axId val="192710912"/>
        <c:scaling>
          <c:orientation val="minMax"/>
        </c:scaling>
        <c:delete val="1"/>
        <c:axPos val="b"/>
        <c:majorTickMark val="out"/>
        <c:minorTickMark val="none"/>
        <c:tickLblPos val="nextTo"/>
        <c:crossAx val="192709376"/>
        <c:crosses val="autoZero"/>
        <c:auto val="1"/>
        <c:lblAlgn val="ctr"/>
        <c:lblOffset val="100"/>
        <c:noMultiLvlLbl val="0"/>
      </c:catAx>
      <c:spPr>
        <a:noFill/>
        <a:ln w="2537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9"/>
      </a:pPr>
      <a:endParaRPr lang="zh-HK"/>
    </a:p>
  </c:txPr>
  <c:externalData r:id="rId2">
    <c:autoUpdate val="0"/>
  </c:externalData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HK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anchor="t" anchorCtr="1"/>
          <a:lstStyle/>
          <a:p>
            <a:pPr>
              <a:defRPr sz="1048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zh-TW" altLang="en-US"/>
              <a:t>失業率</a:t>
            </a:r>
            <a:endParaRPr lang="en-US" altLang="zh-TW"/>
          </a:p>
          <a:p>
            <a:pPr>
              <a:defRPr sz="1048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en-US" sz="900"/>
              <a:t>(</a:t>
            </a:r>
            <a:r>
              <a:rPr lang="zh-TW" altLang="en-US" sz="900"/>
              <a:t>季節性調整</a:t>
            </a:r>
            <a:r>
              <a:rPr lang="en-US" sz="900" baseline="0"/>
              <a:t>)</a:t>
            </a:r>
            <a:endParaRPr lang="en-US" sz="900"/>
          </a:p>
        </c:rich>
      </c:tx>
      <c:layout>
        <c:manualLayout>
          <c:xMode val="edge"/>
          <c:yMode val="edge"/>
          <c:x val="0.4331613298337707"/>
          <c:y val="1.213093677775665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582187226596676"/>
          <c:y val="0.1362858664038975"/>
          <c:w val="0.85262817147856518"/>
          <c:h val="0.68112103500337273"/>
        </c:manualLayout>
      </c:layout>
      <c:barChart>
        <c:barDir val="col"/>
        <c:grouping val="clustered"/>
        <c:varyColors val="1"/>
        <c:ser>
          <c:idx val="0"/>
          <c:order val="0"/>
          <c:tx>
            <c:v>Unemployment Rate (Seasonally Adjusted)</c:v>
          </c:tx>
          <c:spPr>
            <a:solidFill>
              <a:srgbClr val="0070C0"/>
            </a:solidFill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Pt>
            <c:idx val="2"/>
            <c:invertIfNegative val="0"/>
            <c:bubble3D val="0"/>
          </c:dPt>
          <c:dPt>
            <c:idx val="3"/>
            <c:invertIfNegative val="0"/>
            <c:bubble3D val="0"/>
          </c:dPt>
          <c:dPt>
            <c:idx val="4"/>
            <c:invertIfNegative val="0"/>
            <c:bubble3D val="0"/>
          </c:dPt>
          <c:dPt>
            <c:idx val="5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8"/>
            <c:invertIfNegative val="0"/>
            <c:bubble3D val="0"/>
          </c:dPt>
          <c:dPt>
            <c:idx val="9"/>
            <c:invertIfNegative val="0"/>
            <c:bubble3D val="0"/>
          </c:dPt>
          <c:dPt>
            <c:idx val="10"/>
            <c:invertIfNegative val="0"/>
            <c:bubble3D val="0"/>
          </c:dPt>
          <c:dPt>
            <c:idx val="11"/>
            <c:invertIfNegative val="0"/>
            <c:bubble3D val="0"/>
          </c:dPt>
          <c:dPt>
            <c:idx val="12"/>
            <c:invertIfNegative val="0"/>
            <c:bubble3D val="0"/>
          </c:dPt>
          <c:dPt>
            <c:idx val="13"/>
            <c:invertIfNegative val="0"/>
            <c:bubble3D val="0"/>
          </c:dPt>
          <c:dPt>
            <c:idx val="14"/>
            <c:invertIfNegative val="0"/>
            <c:bubble3D val="0"/>
          </c:dPt>
          <c:dPt>
            <c:idx val="15"/>
            <c:invertIfNegative val="0"/>
            <c:bubble3D val="0"/>
          </c:dPt>
          <c:dPt>
            <c:idx val="16"/>
            <c:invertIfNegative val="0"/>
            <c:bubble3D val="0"/>
          </c:dPt>
          <c:dPt>
            <c:idx val="17"/>
            <c:invertIfNegative val="0"/>
            <c:bubble3D val="0"/>
          </c:dPt>
          <c:dPt>
            <c:idx val="18"/>
            <c:invertIfNegative val="0"/>
            <c:bubble3D val="0"/>
          </c:dPt>
          <c:dPt>
            <c:idx val="19"/>
            <c:invertIfNegative val="0"/>
            <c:bubble3D val="0"/>
          </c:dPt>
          <c:dPt>
            <c:idx val="20"/>
            <c:invertIfNegative val="0"/>
            <c:bubble3D val="0"/>
          </c:dPt>
          <c:dPt>
            <c:idx val="21"/>
            <c:invertIfNegative val="0"/>
            <c:bubble3D val="0"/>
          </c:dPt>
          <c:dPt>
            <c:idx val="22"/>
            <c:invertIfNegative val="0"/>
            <c:bubble3D val="0"/>
          </c:dPt>
          <c:dPt>
            <c:idx val="23"/>
            <c:invertIfNegative val="0"/>
            <c:bubble3D val="0"/>
          </c:dPt>
          <c:dPt>
            <c:idx val="24"/>
            <c:invertIfNegative val="0"/>
            <c:bubble3D val="0"/>
          </c:dPt>
          <c:dPt>
            <c:idx val="25"/>
            <c:invertIfNegative val="0"/>
            <c:bubble3D val="0"/>
          </c:dPt>
          <c:dPt>
            <c:idx val="26"/>
            <c:invertIfNegative val="0"/>
            <c:bubble3D val="0"/>
          </c:dPt>
          <c:dPt>
            <c:idx val="27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28"/>
            <c:invertIfNegative val="0"/>
            <c:bubble3D val="0"/>
            <c:spPr>
              <a:solidFill>
                <a:srgbClr val="FF0000"/>
              </a:solidFill>
            </c:spPr>
          </c:dPt>
          <c:dLbls>
            <c:dLbl>
              <c:idx val="37"/>
              <c:layout>
                <c:manualLayout>
                  <c:x val="0"/>
                  <c:y val="-1.2444444444444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8"/>
              <c:layout>
                <c:manualLayout>
                  <c:x val="0"/>
                  <c:y val="-8.88888888888882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9"/>
              <c:layout>
                <c:manualLayout>
                  <c:x val="0"/>
                  <c:y val="-3.555555555555620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0"/>
              <c:layout>
                <c:manualLayout>
                  <c:x val="0"/>
                  <c:y val="3.555555555555555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9"/>
              <c:layout>
                <c:manualLayout>
                  <c:x val="0"/>
                  <c:y val="-1.2444444444444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1"/>
              <c:layout>
                <c:manualLayout>
                  <c:x val="1.2472715933894605E-3"/>
                  <c:y val="-1.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70">
                <a:noFill/>
              </a:ln>
            </c:spPr>
            <c:txPr>
              <a:bodyPr/>
              <a:lstStyle/>
              <a:p>
                <a:pPr>
                  <a:defRPr sz="800">
                    <a:solidFill>
                      <a:srgbClr val="00206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endParaRPr lang="zh-H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[Graphs4a.xlsm]data!$A$142:$A$170</c:f>
              <c:strCache>
                <c:ptCount val="29"/>
                <c:pt idx="0">
                  <c:v>08Q1</c:v>
                </c:pt>
                <c:pt idx="1">
                  <c:v>08Q2</c:v>
                </c:pt>
                <c:pt idx="2">
                  <c:v>08Q3</c:v>
                </c:pt>
                <c:pt idx="3">
                  <c:v>08Q4</c:v>
                </c:pt>
                <c:pt idx="4">
                  <c:v>09Q1</c:v>
                </c:pt>
                <c:pt idx="5">
                  <c:v>09Q2</c:v>
                </c:pt>
                <c:pt idx="6">
                  <c:v>09Q3</c:v>
                </c:pt>
                <c:pt idx="7">
                  <c:v>09Q4</c:v>
                </c:pt>
                <c:pt idx="8">
                  <c:v>10Q1</c:v>
                </c:pt>
                <c:pt idx="9">
                  <c:v>10Q2</c:v>
                </c:pt>
                <c:pt idx="10">
                  <c:v>10Q3</c:v>
                </c:pt>
                <c:pt idx="11">
                  <c:v>10Q4</c:v>
                </c:pt>
                <c:pt idx="12">
                  <c:v>11Q1</c:v>
                </c:pt>
                <c:pt idx="13">
                  <c:v>11Q2</c:v>
                </c:pt>
                <c:pt idx="14">
                  <c:v>11Q3</c:v>
                </c:pt>
                <c:pt idx="15">
                  <c:v>11Q4</c:v>
                </c:pt>
                <c:pt idx="16">
                  <c:v>12Q1</c:v>
                </c:pt>
                <c:pt idx="17">
                  <c:v>12Q2</c:v>
                </c:pt>
                <c:pt idx="18">
                  <c:v>12Q3</c:v>
                </c:pt>
                <c:pt idx="19">
                  <c:v>12Q4</c:v>
                </c:pt>
                <c:pt idx="20">
                  <c:v>13Q1</c:v>
                </c:pt>
                <c:pt idx="21">
                  <c:v>13Q2</c:v>
                </c:pt>
                <c:pt idx="22">
                  <c:v>13Q3</c:v>
                </c:pt>
                <c:pt idx="23">
                  <c:v>13Q4</c:v>
                </c:pt>
                <c:pt idx="24">
                  <c:v>14Q1</c:v>
                </c:pt>
                <c:pt idx="25">
                  <c:v>14Q2</c:v>
                </c:pt>
                <c:pt idx="26">
                  <c:v>14Q3</c:v>
                </c:pt>
                <c:pt idx="27">
                  <c:v>14Q4</c:v>
                </c:pt>
                <c:pt idx="28">
                  <c:v>15Q1</c:v>
                </c:pt>
              </c:strCache>
            </c:strRef>
          </c:cat>
          <c:val>
            <c:numRef>
              <c:f>[Graphs4a.xlsm]data!$N$142:$N$170</c:f>
              <c:numCache>
                <c:formatCode>0.0</c:formatCode>
                <c:ptCount val="29"/>
                <c:pt idx="0">
                  <c:v>3.3</c:v>
                </c:pt>
                <c:pt idx="1">
                  <c:v>3.2</c:v>
                </c:pt>
                <c:pt idx="2">
                  <c:v>3.5</c:v>
                </c:pt>
                <c:pt idx="3">
                  <c:v>4.0999999999999996</c:v>
                </c:pt>
                <c:pt idx="4">
                  <c:v>5.2</c:v>
                </c:pt>
                <c:pt idx="5">
                  <c:v>5.3</c:v>
                </c:pt>
                <c:pt idx="6">
                  <c:v>5.4</c:v>
                </c:pt>
                <c:pt idx="7">
                  <c:v>5</c:v>
                </c:pt>
                <c:pt idx="8">
                  <c:v>4.5999999999999996</c:v>
                </c:pt>
                <c:pt idx="9">
                  <c:v>4.5999999999999996</c:v>
                </c:pt>
                <c:pt idx="10">
                  <c:v>4.2</c:v>
                </c:pt>
                <c:pt idx="11">
                  <c:v>3.9</c:v>
                </c:pt>
                <c:pt idx="12">
                  <c:v>3.5</c:v>
                </c:pt>
                <c:pt idx="13">
                  <c:v>3.6</c:v>
                </c:pt>
                <c:pt idx="14">
                  <c:v>3.2</c:v>
                </c:pt>
                <c:pt idx="15">
                  <c:v>3.3</c:v>
                </c:pt>
                <c:pt idx="16">
                  <c:v>3.4</c:v>
                </c:pt>
                <c:pt idx="17">
                  <c:v>3.2</c:v>
                </c:pt>
                <c:pt idx="18">
                  <c:v>3.3</c:v>
                </c:pt>
                <c:pt idx="19">
                  <c:v>3.2</c:v>
                </c:pt>
                <c:pt idx="20">
                  <c:v>3.5</c:v>
                </c:pt>
                <c:pt idx="21">
                  <c:v>3.3</c:v>
                </c:pt>
                <c:pt idx="22">
                  <c:v>3.4</c:v>
                </c:pt>
                <c:pt idx="23">
                  <c:v>3.2</c:v>
                </c:pt>
                <c:pt idx="24">
                  <c:v>3.1</c:v>
                </c:pt>
                <c:pt idx="25">
                  <c:v>3.2</c:v>
                </c:pt>
                <c:pt idx="26">
                  <c:v>3.3</c:v>
                </c:pt>
                <c:pt idx="27">
                  <c:v>3.3</c:v>
                </c:pt>
                <c:pt idx="28">
                  <c:v>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194115456"/>
        <c:axId val="194116992"/>
      </c:barChart>
      <c:barChart>
        <c:barDir val="col"/>
        <c:grouping val="clustered"/>
        <c:varyColors val="1"/>
        <c:ser>
          <c:idx val="1"/>
          <c:order val="1"/>
          <c:spPr>
            <a:solidFill>
              <a:srgbClr val="8064A2">
                <a:lumMod val="20000"/>
                <a:lumOff val="80000"/>
                <a:alpha val="47000"/>
              </a:srgbClr>
            </a:solidFill>
            <a:ln>
              <a:noFill/>
            </a:ln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/>
          </c:spPr>
          <c:invertIfNegative val="0"/>
          <c:val>
            <c:numRef>
              <c:f>'[Graphs4a.xlsm]data (2)'!$A$142:$A$170</c:f>
              <c:numCache>
                <c:formatCode>General</c:formatCode>
                <c:ptCount val="29"/>
                <c:pt idx="24" formatCode="g/&quot;通&quot;&quot;用&quot;&quot;格&quot;&quot;式&quot;">
                  <c:v>1</c:v>
                </c:pt>
                <c:pt idx="25" formatCode="g/&quot;通&quot;&quot;用&quot;&quot;格&quot;&quot;式&quot;">
                  <c:v>1</c:v>
                </c:pt>
                <c:pt idx="26" formatCode="g/&quot;通&quot;&quot;用&quot;&quot;格&quot;&quot;式&quot;">
                  <c:v>1</c:v>
                </c:pt>
                <c:pt idx="27" formatCode="g/&quot;通&quot;&quot;用&quot;&quot;格&quot;&quot;式&quot;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-4"/>
        <c:axId val="194202624"/>
        <c:axId val="194201088"/>
      </c:barChart>
      <c:catAx>
        <c:axId val="194115456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txPr>
          <a:bodyPr rot="-5400000" vert="horz"/>
          <a:lstStyle/>
          <a:p>
            <a:pPr>
              <a:defRPr sz="900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zh-HK"/>
          </a:p>
        </c:txPr>
        <c:crossAx val="194116992"/>
        <c:crosses val="autoZero"/>
        <c:auto val="0"/>
        <c:lblAlgn val="ctr"/>
        <c:lblOffset val="0"/>
        <c:tickLblSkip val="1"/>
        <c:tickMarkSkip val="1"/>
        <c:noMultiLvlLbl val="0"/>
      </c:catAx>
      <c:valAx>
        <c:axId val="194116992"/>
        <c:scaling>
          <c:orientation val="minMax"/>
        </c:scaling>
        <c:delete val="0"/>
        <c:axPos val="l"/>
        <c:majorGridlines>
          <c:spPr>
            <a:ln>
              <a:gradFill>
                <a:gsLst>
                  <a:gs pos="0">
                    <a:srgbClr val="4F81BD">
                      <a:lumMod val="5000"/>
                      <a:lumOff val="95000"/>
                    </a:srgbClr>
                  </a:gs>
                  <a:gs pos="74000">
                    <a:srgbClr val="4F81BD">
                      <a:lumMod val="45000"/>
                      <a:lumOff val="55000"/>
                    </a:srgbClr>
                  </a:gs>
                  <a:gs pos="83000">
                    <a:srgbClr val="4F81BD">
                      <a:lumMod val="45000"/>
                      <a:lumOff val="55000"/>
                    </a:srgbClr>
                  </a:gs>
                  <a:gs pos="100000">
                    <a:srgbClr val="4F81BD">
                      <a:lumMod val="30000"/>
                      <a:lumOff val="70000"/>
                    </a:srgbClr>
                  </a:gs>
                </a:gsLst>
                <a:lin ang="5400000" scaled="1"/>
              </a:gradFill>
              <a:prstDash val="solid"/>
            </a:ln>
          </c:spPr>
        </c:majorGridlines>
        <c:title>
          <c:tx>
            <c:rich>
              <a:bodyPr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900" b="1" i="0" u="none" strike="noStrike" kern="1200" baseline="0">
                    <a:solidFill>
                      <a:srgbClr val="00206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r>
                  <a:rPr lang="zh-TW" altLang="en-US"/>
                  <a:t>百分比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740209973753281E-2"/>
              <c:y val="0.37492371109265726"/>
            </c:manualLayout>
          </c:layout>
          <c:overlay val="0"/>
        </c:title>
        <c:numFmt formatCode="0.0" sourceLinked="1"/>
        <c:majorTickMark val="cross"/>
        <c:minorTickMark val="none"/>
        <c:tickLblPos val="nextTo"/>
        <c:txPr>
          <a:bodyPr rot="0" vert="horz"/>
          <a:lstStyle/>
          <a:p>
            <a:pPr>
              <a:defRPr sz="900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zh-HK"/>
          </a:p>
        </c:txPr>
        <c:crossAx val="194115456"/>
        <c:crosses val="autoZero"/>
        <c:crossBetween val="between"/>
      </c:valAx>
      <c:valAx>
        <c:axId val="194201088"/>
        <c:scaling>
          <c:orientation val="minMax"/>
          <c:max val="1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>
                <a:solidFill>
                  <a:schemeClr val="bg1"/>
                </a:solidFill>
              </a:defRPr>
            </a:pPr>
            <a:endParaRPr lang="zh-HK"/>
          </a:p>
        </c:txPr>
        <c:crossAx val="194202624"/>
        <c:crosses val="max"/>
        <c:crossBetween val="between"/>
        <c:majorUnit val="1"/>
      </c:valAx>
      <c:catAx>
        <c:axId val="194202624"/>
        <c:scaling>
          <c:orientation val="minMax"/>
        </c:scaling>
        <c:delete val="1"/>
        <c:axPos val="b"/>
        <c:majorTickMark val="out"/>
        <c:minorTickMark val="none"/>
        <c:tickLblPos val="nextTo"/>
        <c:crossAx val="194201088"/>
        <c:crosses val="autoZero"/>
        <c:auto val="1"/>
        <c:lblAlgn val="ctr"/>
        <c:lblOffset val="100"/>
        <c:noMultiLvlLbl val="0"/>
      </c:catAx>
      <c:spPr>
        <a:noFill/>
        <a:ln w="2537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9"/>
      </a:pPr>
      <a:endParaRPr lang="zh-HK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HK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anchor="t" anchorCtr="1"/>
          <a:lstStyle/>
          <a:p>
            <a:pPr>
              <a:defRPr sz="1048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zh-TW" altLang="en-US" sz="1048" b="1" i="0" u="none" strike="noStrike" baseline="0">
                <a:effectLst/>
              </a:rPr>
              <a:t>私人消費開支</a:t>
            </a:r>
            <a:endParaRPr lang="en-US"/>
          </a:p>
          <a:p>
            <a:pPr>
              <a:defRPr sz="1048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en-US" sz="900"/>
              <a:t>(2012</a:t>
            </a:r>
            <a:r>
              <a:rPr lang="zh-TW" altLang="en-US" sz="900"/>
              <a:t>年價格</a:t>
            </a:r>
            <a:r>
              <a:rPr lang="en-US" sz="900"/>
              <a:t>)</a:t>
            </a:r>
          </a:p>
        </c:rich>
      </c:tx>
      <c:layout>
        <c:manualLayout>
          <c:xMode val="edge"/>
          <c:yMode val="edge"/>
          <c:x val="0.44871688538932636"/>
          <c:y val="5.777706426390871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582187226596676"/>
          <c:y val="0.1362858664038975"/>
          <c:w val="0.85262817147856518"/>
          <c:h val="0.68112103500337273"/>
        </c:manualLayout>
      </c:layout>
      <c:barChart>
        <c:barDir val="col"/>
        <c:grouping val="clustered"/>
        <c:varyColors val="1"/>
        <c:ser>
          <c:idx val="0"/>
          <c:order val="0"/>
          <c:spPr>
            <a:solidFill>
              <a:srgbClr val="0070C0"/>
            </a:solidFill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Pt>
            <c:idx val="2"/>
            <c:invertIfNegative val="0"/>
            <c:bubble3D val="0"/>
          </c:dPt>
          <c:dPt>
            <c:idx val="3"/>
            <c:invertIfNegative val="0"/>
            <c:bubble3D val="0"/>
          </c:dPt>
          <c:dPt>
            <c:idx val="4"/>
            <c:invertIfNegative val="0"/>
            <c:bubble3D val="0"/>
          </c:dPt>
          <c:dPt>
            <c:idx val="5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8"/>
            <c:invertIfNegative val="0"/>
            <c:bubble3D val="0"/>
          </c:dPt>
          <c:dPt>
            <c:idx val="9"/>
            <c:invertIfNegative val="0"/>
            <c:bubble3D val="0"/>
          </c:dPt>
          <c:dPt>
            <c:idx val="10"/>
            <c:invertIfNegative val="0"/>
            <c:bubble3D val="0"/>
          </c:dPt>
          <c:dPt>
            <c:idx val="11"/>
            <c:invertIfNegative val="0"/>
            <c:bubble3D val="0"/>
          </c:dPt>
          <c:dPt>
            <c:idx val="12"/>
            <c:invertIfNegative val="0"/>
            <c:bubble3D val="0"/>
          </c:dPt>
          <c:dPt>
            <c:idx val="13"/>
            <c:invertIfNegative val="0"/>
            <c:bubble3D val="0"/>
          </c:dPt>
          <c:dPt>
            <c:idx val="14"/>
            <c:invertIfNegative val="0"/>
            <c:bubble3D val="0"/>
          </c:dPt>
          <c:dPt>
            <c:idx val="15"/>
            <c:invertIfNegative val="0"/>
            <c:bubble3D val="0"/>
          </c:dPt>
          <c:dPt>
            <c:idx val="16"/>
            <c:invertIfNegative val="0"/>
            <c:bubble3D val="0"/>
          </c:dPt>
          <c:dPt>
            <c:idx val="17"/>
            <c:invertIfNegative val="0"/>
            <c:bubble3D val="0"/>
          </c:dPt>
          <c:dPt>
            <c:idx val="18"/>
            <c:invertIfNegative val="0"/>
            <c:bubble3D val="0"/>
          </c:dPt>
          <c:dPt>
            <c:idx val="19"/>
            <c:invertIfNegative val="0"/>
            <c:bubble3D val="0"/>
          </c:dPt>
          <c:dPt>
            <c:idx val="20"/>
            <c:invertIfNegative val="0"/>
            <c:bubble3D val="0"/>
          </c:dPt>
          <c:dPt>
            <c:idx val="21"/>
            <c:invertIfNegative val="0"/>
            <c:bubble3D val="0"/>
          </c:dPt>
          <c:dPt>
            <c:idx val="22"/>
            <c:invertIfNegative val="0"/>
            <c:bubble3D val="0"/>
          </c:dPt>
          <c:dPt>
            <c:idx val="23"/>
            <c:invertIfNegative val="0"/>
            <c:bubble3D val="0"/>
          </c:dPt>
          <c:dPt>
            <c:idx val="24"/>
            <c:invertIfNegative val="0"/>
            <c:bubble3D val="0"/>
          </c:dPt>
          <c:dPt>
            <c:idx val="25"/>
            <c:invertIfNegative val="0"/>
            <c:bubble3D val="0"/>
          </c:dPt>
          <c:dPt>
            <c:idx val="26"/>
            <c:invertIfNegative val="0"/>
            <c:bubble3D val="0"/>
          </c:dPt>
          <c:dPt>
            <c:idx val="27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28"/>
            <c:invertIfNegative val="0"/>
            <c:bubble3D val="0"/>
            <c:spPr>
              <a:solidFill>
                <a:srgbClr val="FF0000"/>
              </a:solidFill>
            </c:spPr>
          </c:dPt>
          <c:dLbls>
            <c:dLbl>
              <c:idx val="37"/>
              <c:layout>
                <c:manualLayout>
                  <c:x val="0"/>
                  <c:y val="-1.2444444444444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8"/>
              <c:layout>
                <c:manualLayout>
                  <c:x val="0"/>
                  <c:y val="-8.88888888888882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9"/>
              <c:layout>
                <c:manualLayout>
                  <c:x val="0"/>
                  <c:y val="-3.555555555555620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0"/>
              <c:layout>
                <c:manualLayout>
                  <c:x val="0"/>
                  <c:y val="3.555555555555555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9"/>
              <c:layout>
                <c:manualLayout>
                  <c:x val="0"/>
                  <c:y val="-1.2444444444444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1"/>
              <c:layout>
                <c:manualLayout>
                  <c:x val="1.2472715933894605E-3"/>
                  <c:y val="-1.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70">
                <a:noFill/>
              </a:ln>
            </c:spPr>
            <c:txPr>
              <a:bodyPr/>
              <a:lstStyle/>
              <a:p>
                <a:pPr>
                  <a:defRPr sz="800">
                    <a:solidFill>
                      <a:srgbClr val="00206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endParaRPr lang="zh-H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'[Graphs4a.xlsm]data (2)'!$B$122:$B$170</c:f>
              <c:strCache>
                <c:ptCount val="29"/>
                <c:pt idx="0">
                  <c:v>08Q1</c:v>
                </c:pt>
                <c:pt idx="1">
                  <c:v>08Q2</c:v>
                </c:pt>
                <c:pt idx="2">
                  <c:v>08Q3</c:v>
                </c:pt>
                <c:pt idx="3">
                  <c:v>08Q4</c:v>
                </c:pt>
                <c:pt idx="4">
                  <c:v>09Q1</c:v>
                </c:pt>
                <c:pt idx="5">
                  <c:v>09Q2</c:v>
                </c:pt>
                <c:pt idx="6">
                  <c:v>09Q3</c:v>
                </c:pt>
                <c:pt idx="7">
                  <c:v>09Q4</c:v>
                </c:pt>
                <c:pt idx="8">
                  <c:v>10Q1</c:v>
                </c:pt>
                <c:pt idx="9">
                  <c:v>10Q2</c:v>
                </c:pt>
                <c:pt idx="10">
                  <c:v>10Q3</c:v>
                </c:pt>
                <c:pt idx="11">
                  <c:v>10Q4</c:v>
                </c:pt>
                <c:pt idx="12">
                  <c:v>11Q1</c:v>
                </c:pt>
                <c:pt idx="13">
                  <c:v>11Q2</c:v>
                </c:pt>
                <c:pt idx="14">
                  <c:v>11Q3</c:v>
                </c:pt>
                <c:pt idx="15">
                  <c:v>11Q4</c:v>
                </c:pt>
                <c:pt idx="16">
                  <c:v>12Q1</c:v>
                </c:pt>
                <c:pt idx="17">
                  <c:v>12Q2</c:v>
                </c:pt>
                <c:pt idx="18">
                  <c:v>12Q3</c:v>
                </c:pt>
                <c:pt idx="19">
                  <c:v>12Q4</c:v>
                </c:pt>
                <c:pt idx="20">
                  <c:v>13Q1</c:v>
                </c:pt>
                <c:pt idx="21">
                  <c:v>13Q2</c:v>
                </c:pt>
                <c:pt idx="22">
                  <c:v>13Q3</c:v>
                </c:pt>
                <c:pt idx="23">
                  <c:v>13Q4</c:v>
                </c:pt>
                <c:pt idx="24">
                  <c:v>14Q1</c:v>
                </c:pt>
                <c:pt idx="25">
                  <c:v>14Q2</c:v>
                </c:pt>
                <c:pt idx="26">
                  <c:v>14Q3</c:v>
                </c:pt>
                <c:pt idx="27">
                  <c:v>14Q4</c:v>
                </c:pt>
                <c:pt idx="28">
                  <c:v>15Q1</c:v>
                </c:pt>
              </c:strCache>
            </c:strRef>
          </c:cat>
          <c:val>
            <c:numRef>
              <c:f>'[Graphs4a.xlsm]data (2)'!$E$122:$E$170</c:f>
              <c:numCache>
                <c:formatCode>0.0</c:formatCode>
                <c:ptCount val="29"/>
                <c:pt idx="0">
                  <c:v>8.4401407750581683</c:v>
                </c:pt>
                <c:pt idx="1">
                  <c:v>3.4974783713969337</c:v>
                </c:pt>
                <c:pt idx="2">
                  <c:v>6.2666691534407626E-2</c:v>
                </c:pt>
                <c:pt idx="3">
                  <c:v>-3.5911985942199132</c:v>
                </c:pt>
                <c:pt idx="4">
                  <c:v>-6.0288460480620749</c:v>
                </c:pt>
                <c:pt idx="5">
                  <c:v>0.18547730694153941</c:v>
                </c:pt>
                <c:pt idx="6">
                  <c:v>1.0866607270002548</c:v>
                </c:pt>
                <c:pt idx="7">
                  <c:v>5.3938396256659527</c:v>
                </c:pt>
                <c:pt idx="8">
                  <c:v>7.470077932011443</c:v>
                </c:pt>
                <c:pt idx="9">
                  <c:v>3.8367658001919658</c:v>
                </c:pt>
                <c:pt idx="10">
                  <c:v>5.0964715600660737</c:v>
                </c:pt>
                <c:pt idx="11">
                  <c:v>8.0348750969797109</c:v>
                </c:pt>
                <c:pt idx="12">
                  <c:v>8.030763532577323</c:v>
                </c:pt>
                <c:pt idx="13">
                  <c:v>10.288038774450413</c:v>
                </c:pt>
                <c:pt idx="14">
                  <c:v>9.5744382219602251</c:v>
                </c:pt>
                <c:pt idx="15">
                  <c:v>5.9105461631909328</c:v>
                </c:pt>
                <c:pt idx="16">
                  <c:v>6.5390058049054289</c:v>
                </c:pt>
                <c:pt idx="17">
                  <c:v>3.5449371717723333</c:v>
                </c:pt>
                <c:pt idx="18">
                  <c:v>2.7591153922516654</c:v>
                </c:pt>
                <c:pt idx="19">
                  <c:v>3.7355987084016551</c:v>
                </c:pt>
                <c:pt idx="20">
                  <c:v>6.3411586914478457</c:v>
                </c:pt>
                <c:pt idx="21">
                  <c:v>4.6895652701145929</c:v>
                </c:pt>
                <c:pt idx="22">
                  <c:v>2.7408146093677033</c:v>
                </c:pt>
                <c:pt idx="23">
                  <c:v>3.63246325064428</c:v>
                </c:pt>
                <c:pt idx="24">
                  <c:v>1.589924642496876</c:v>
                </c:pt>
                <c:pt idx="25">
                  <c:v>1.2382394759779869</c:v>
                </c:pt>
                <c:pt idx="26">
                  <c:v>3.1624126059723645</c:v>
                </c:pt>
                <c:pt idx="27">
                  <c:v>2.8791465339385924</c:v>
                </c:pt>
                <c:pt idx="28">
                  <c:v>3.6500022004658073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192677376"/>
        <c:axId val="192678912"/>
      </c:barChart>
      <c:barChart>
        <c:barDir val="col"/>
        <c:grouping val="clustered"/>
        <c:varyColors val="1"/>
        <c:ser>
          <c:idx val="1"/>
          <c:order val="1"/>
          <c:spPr>
            <a:solidFill>
              <a:srgbClr val="8064A2">
                <a:lumMod val="20000"/>
                <a:lumOff val="80000"/>
                <a:alpha val="47000"/>
              </a:srgbClr>
            </a:solidFill>
            <a:ln>
              <a:noFill/>
            </a:ln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/>
          </c:spPr>
          <c:invertIfNegative val="0"/>
          <c:val>
            <c:numRef>
              <c:f>'[Graphs4a.xlsm]data (2)'!$A$122:$A$170</c:f>
              <c:numCache>
                <c:formatCode>General</c:formatCode>
                <c:ptCount val="29"/>
                <c:pt idx="24" formatCode="g/&quot;通&quot;&quot;用&quot;&quot;格&quot;&quot;式&quot;">
                  <c:v>1</c:v>
                </c:pt>
                <c:pt idx="25" formatCode="g/&quot;通&quot;&quot;用&quot;&quot;格&quot;&quot;式&quot;">
                  <c:v>1</c:v>
                </c:pt>
                <c:pt idx="26" formatCode="g/&quot;通&quot;&quot;用&quot;&quot;格&quot;&quot;式&quot;">
                  <c:v>1</c:v>
                </c:pt>
                <c:pt idx="27" formatCode="g/&quot;通&quot;&quot;用&quot;&quot;格&quot;&quot;式&quot;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-4"/>
        <c:axId val="192723584"/>
        <c:axId val="192722048"/>
      </c:barChart>
      <c:catAx>
        <c:axId val="192677376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txPr>
          <a:bodyPr rot="-5400000" vert="horz"/>
          <a:lstStyle/>
          <a:p>
            <a:pPr>
              <a:defRPr sz="900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zh-HK"/>
          </a:p>
        </c:txPr>
        <c:crossAx val="192678912"/>
        <c:crosses val="autoZero"/>
        <c:auto val="0"/>
        <c:lblAlgn val="ctr"/>
        <c:lblOffset val="0"/>
        <c:tickLblSkip val="1"/>
        <c:tickMarkSkip val="1"/>
        <c:noMultiLvlLbl val="0"/>
      </c:catAx>
      <c:valAx>
        <c:axId val="192678912"/>
        <c:scaling>
          <c:orientation val="minMax"/>
        </c:scaling>
        <c:delete val="0"/>
        <c:axPos val="l"/>
        <c:majorGridlines>
          <c:spPr>
            <a:ln>
              <a:gradFill>
                <a:gsLst>
                  <a:gs pos="0">
                    <a:srgbClr val="5B9BD5">
                      <a:lumMod val="5000"/>
                      <a:lumOff val="95000"/>
                    </a:srgbClr>
                  </a:gs>
                  <a:gs pos="74000">
                    <a:srgbClr val="5B9BD5">
                      <a:lumMod val="45000"/>
                      <a:lumOff val="55000"/>
                    </a:srgbClr>
                  </a:gs>
                  <a:gs pos="83000">
                    <a:srgbClr val="5B9BD5">
                      <a:lumMod val="45000"/>
                      <a:lumOff val="55000"/>
                    </a:srgbClr>
                  </a:gs>
                  <a:gs pos="100000">
                    <a:srgbClr val="5B9BD5">
                      <a:lumMod val="30000"/>
                      <a:lumOff val="70000"/>
                    </a:srgbClr>
                  </a:gs>
                </a:gsLst>
                <a:lin ang="5400000" scaled="1"/>
              </a:gradFill>
              <a:prstDash val="solid"/>
            </a:ln>
          </c:spPr>
        </c:majorGridlines>
        <c:title>
          <c:tx>
            <c:rich>
              <a:bodyPr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900" b="1" i="0" u="none" strike="noStrike" kern="1200" baseline="0">
                    <a:solidFill>
                      <a:srgbClr val="00206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r>
                  <a:rPr lang="zh-TW" altLang="en-US" sz="900">
                    <a:solidFill>
                      <a:srgbClr val="002060"/>
                    </a:solidFill>
                  </a:rPr>
                  <a:t>按年百分比</a:t>
                </a:r>
                <a:endParaRPr lang="en-US" sz="900">
                  <a:solidFill>
                    <a:srgbClr val="002060"/>
                  </a:solidFill>
                </a:endParaRPr>
              </a:p>
            </c:rich>
          </c:tx>
          <c:layout>
            <c:manualLayout>
              <c:xMode val="edge"/>
              <c:yMode val="edge"/>
              <c:x val="1.073543307086614E-2"/>
              <c:y val="0.36579456319154752"/>
            </c:manualLayout>
          </c:layout>
          <c:overlay val="0"/>
        </c:title>
        <c:numFmt formatCode="0.0" sourceLinked="1"/>
        <c:majorTickMark val="cross"/>
        <c:minorTickMark val="none"/>
        <c:tickLblPos val="nextTo"/>
        <c:txPr>
          <a:bodyPr rot="0" vert="horz"/>
          <a:lstStyle/>
          <a:p>
            <a:pPr>
              <a:defRPr sz="900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zh-HK"/>
          </a:p>
        </c:txPr>
        <c:crossAx val="192677376"/>
        <c:crosses val="autoZero"/>
        <c:crossBetween val="between"/>
      </c:valAx>
      <c:valAx>
        <c:axId val="192722048"/>
        <c:scaling>
          <c:orientation val="minMax"/>
          <c:max val="1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>
                <a:solidFill>
                  <a:schemeClr val="bg1"/>
                </a:solidFill>
              </a:defRPr>
            </a:pPr>
            <a:endParaRPr lang="zh-HK"/>
          </a:p>
        </c:txPr>
        <c:crossAx val="192723584"/>
        <c:crosses val="max"/>
        <c:crossBetween val="between"/>
        <c:majorUnit val="1"/>
      </c:valAx>
      <c:catAx>
        <c:axId val="192723584"/>
        <c:scaling>
          <c:orientation val="minMax"/>
        </c:scaling>
        <c:delete val="1"/>
        <c:axPos val="b"/>
        <c:majorTickMark val="out"/>
        <c:minorTickMark val="none"/>
        <c:tickLblPos val="nextTo"/>
        <c:crossAx val="192722048"/>
        <c:crosses val="autoZero"/>
        <c:auto val="1"/>
        <c:lblAlgn val="ctr"/>
        <c:lblOffset val="100"/>
        <c:noMultiLvlLbl val="0"/>
      </c:catAx>
      <c:spPr>
        <a:noFill/>
        <a:ln w="2537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9"/>
      </a:pPr>
      <a:endParaRPr lang="zh-HK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HK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anchor="t" anchorCtr="1"/>
          <a:lstStyle/>
          <a:p>
            <a:pPr>
              <a:defRPr sz="1048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zh-TW" altLang="en-US" sz="1048" b="1" i="0" u="none" strike="noStrike" baseline="0">
                <a:effectLst/>
              </a:rPr>
              <a:t>零售量</a:t>
            </a:r>
            <a:endParaRPr lang="en-US" altLang="zh-TW" sz="1048" b="1" i="0" u="none" strike="noStrike" baseline="0">
              <a:effectLst/>
            </a:endParaRPr>
          </a:p>
        </c:rich>
      </c:tx>
      <c:layout>
        <c:manualLayout>
          <c:xMode val="edge"/>
          <c:yMode val="edge"/>
          <c:x val="0.45982799650043743"/>
          <c:y val="1.5334890242892942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1915520559930008"/>
          <c:y val="0.10124293558558446"/>
          <c:w val="0.83929483814523187"/>
          <c:h val="0.71616393204114859"/>
        </c:manualLayout>
      </c:layout>
      <c:barChart>
        <c:barDir val="col"/>
        <c:grouping val="clustered"/>
        <c:varyColors val="1"/>
        <c:ser>
          <c:idx val="0"/>
          <c:order val="0"/>
          <c:spPr>
            <a:solidFill>
              <a:srgbClr val="0070C0"/>
            </a:solidFill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Pt>
            <c:idx val="2"/>
            <c:invertIfNegative val="0"/>
            <c:bubble3D val="0"/>
          </c:dPt>
          <c:dPt>
            <c:idx val="3"/>
            <c:invertIfNegative val="0"/>
            <c:bubble3D val="0"/>
          </c:dPt>
          <c:dPt>
            <c:idx val="4"/>
            <c:invertIfNegative val="0"/>
            <c:bubble3D val="0"/>
          </c:dPt>
          <c:dPt>
            <c:idx val="5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8"/>
            <c:invertIfNegative val="0"/>
            <c:bubble3D val="0"/>
          </c:dPt>
          <c:dPt>
            <c:idx val="9"/>
            <c:invertIfNegative val="0"/>
            <c:bubble3D val="0"/>
          </c:dPt>
          <c:dPt>
            <c:idx val="10"/>
            <c:invertIfNegative val="0"/>
            <c:bubble3D val="0"/>
          </c:dPt>
          <c:dPt>
            <c:idx val="11"/>
            <c:invertIfNegative val="0"/>
            <c:bubble3D val="0"/>
          </c:dPt>
          <c:dPt>
            <c:idx val="12"/>
            <c:invertIfNegative val="0"/>
            <c:bubble3D val="0"/>
          </c:dPt>
          <c:dPt>
            <c:idx val="13"/>
            <c:invertIfNegative val="0"/>
            <c:bubble3D val="0"/>
          </c:dPt>
          <c:dPt>
            <c:idx val="14"/>
            <c:invertIfNegative val="0"/>
            <c:bubble3D val="0"/>
          </c:dPt>
          <c:dPt>
            <c:idx val="15"/>
            <c:invertIfNegative val="0"/>
            <c:bubble3D val="0"/>
          </c:dPt>
          <c:dPt>
            <c:idx val="16"/>
            <c:invertIfNegative val="0"/>
            <c:bubble3D val="0"/>
          </c:dPt>
          <c:dPt>
            <c:idx val="17"/>
            <c:invertIfNegative val="0"/>
            <c:bubble3D val="0"/>
          </c:dPt>
          <c:dPt>
            <c:idx val="18"/>
            <c:invertIfNegative val="0"/>
            <c:bubble3D val="0"/>
          </c:dPt>
          <c:dPt>
            <c:idx val="19"/>
            <c:invertIfNegative val="0"/>
            <c:bubble3D val="0"/>
          </c:dPt>
          <c:dPt>
            <c:idx val="20"/>
            <c:invertIfNegative val="0"/>
            <c:bubble3D val="0"/>
          </c:dPt>
          <c:dPt>
            <c:idx val="21"/>
            <c:invertIfNegative val="0"/>
            <c:bubble3D val="0"/>
          </c:dPt>
          <c:dPt>
            <c:idx val="22"/>
            <c:invertIfNegative val="0"/>
            <c:bubble3D val="0"/>
          </c:dPt>
          <c:dPt>
            <c:idx val="23"/>
            <c:invertIfNegative val="0"/>
            <c:bubble3D val="0"/>
          </c:dPt>
          <c:dPt>
            <c:idx val="24"/>
            <c:invertIfNegative val="0"/>
            <c:bubble3D val="0"/>
          </c:dPt>
          <c:dPt>
            <c:idx val="25"/>
            <c:invertIfNegative val="0"/>
            <c:bubble3D val="0"/>
          </c:dPt>
          <c:dPt>
            <c:idx val="26"/>
            <c:invertIfNegative val="0"/>
            <c:bubble3D val="0"/>
          </c:dPt>
          <c:dPt>
            <c:idx val="27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28"/>
            <c:invertIfNegative val="0"/>
            <c:bubble3D val="0"/>
            <c:spPr>
              <a:solidFill>
                <a:srgbClr val="FF0000"/>
              </a:solidFill>
            </c:spPr>
          </c:dPt>
          <c:dLbls>
            <c:dLbl>
              <c:idx val="37"/>
              <c:layout>
                <c:manualLayout>
                  <c:x val="0"/>
                  <c:y val="-1.2444444444444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8"/>
              <c:layout>
                <c:manualLayout>
                  <c:x val="0"/>
                  <c:y val="-8.88888888888882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9"/>
              <c:layout>
                <c:manualLayout>
                  <c:x val="0"/>
                  <c:y val="-3.555555555555620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0"/>
              <c:layout>
                <c:manualLayout>
                  <c:x val="0"/>
                  <c:y val="3.555555555555555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9"/>
              <c:layout>
                <c:manualLayout>
                  <c:x val="0"/>
                  <c:y val="-1.2444444444444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1"/>
              <c:layout>
                <c:manualLayout>
                  <c:x val="1.2472715933894605E-3"/>
                  <c:y val="-1.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70">
                <a:noFill/>
              </a:ln>
            </c:spPr>
            <c:txPr>
              <a:bodyPr/>
              <a:lstStyle/>
              <a:p>
                <a:pPr>
                  <a:defRPr sz="800">
                    <a:solidFill>
                      <a:srgbClr val="00206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endParaRPr lang="zh-H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'[Graphs4a.xlsm]Monthly Indicators'!$B$50:$B$78</c:f>
              <c:strCache>
                <c:ptCount val="29"/>
                <c:pt idx="0">
                  <c:v>08Q1</c:v>
                </c:pt>
                <c:pt idx="1">
                  <c:v>08Q2</c:v>
                </c:pt>
                <c:pt idx="2">
                  <c:v>08Q3</c:v>
                </c:pt>
                <c:pt idx="3">
                  <c:v>08Q4</c:v>
                </c:pt>
                <c:pt idx="4">
                  <c:v>09Q1</c:v>
                </c:pt>
                <c:pt idx="5">
                  <c:v>09Q2</c:v>
                </c:pt>
                <c:pt idx="6">
                  <c:v>09Q3</c:v>
                </c:pt>
                <c:pt idx="7">
                  <c:v>09Q4</c:v>
                </c:pt>
                <c:pt idx="8">
                  <c:v>10Q1</c:v>
                </c:pt>
                <c:pt idx="9">
                  <c:v>10Q2</c:v>
                </c:pt>
                <c:pt idx="10">
                  <c:v>10Q3</c:v>
                </c:pt>
                <c:pt idx="11">
                  <c:v>10Q4</c:v>
                </c:pt>
                <c:pt idx="12">
                  <c:v>11Q1</c:v>
                </c:pt>
                <c:pt idx="13">
                  <c:v>11Q2</c:v>
                </c:pt>
                <c:pt idx="14">
                  <c:v>11Q3</c:v>
                </c:pt>
                <c:pt idx="15">
                  <c:v>11Q4</c:v>
                </c:pt>
                <c:pt idx="16">
                  <c:v>12Q1</c:v>
                </c:pt>
                <c:pt idx="17">
                  <c:v>12Q2</c:v>
                </c:pt>
                <c:pt idx="18">
                  <c:v>12Q3</c:v>
                </c:pt>
                <c:pt idx="19">
                  <c:v>12Q4</c:v>
                </c:pt>
                <c:pt idx="20">
                  <c:v>13Q1</c:v>
                </c:pt>
                <c:pt idx="21">
                  <c:v>13Q2</c:v>
                </c:pt>
                <c:pt idx="22">
                  <c:v>13Q3</c:v>
                </c:pt>
                <c:pt idx="23">
                  <c:v>13Q4</c:v>
                </c:pt>
                <c:pt idx="24">
                  <c:v>14Q1</c:v>
                </c:pt>
                <c:pt idx="25">
                  <c:v>14Q2</c:v>
                </c:pt>
                <c:pt idx="26">
                  <c:v>14Q3</c:v>
                </c:pt>
                <c:pt idx="27">
                  <c:v>14Q4</c:v>
                </c:pt>
                <c:pt idx="28">
                  <c:v>15Q1</c:v>
                </c:pt>
              </c:strCache>
            </c:strRef>
          </c:cat>
          <c:val>
            <c:numRef>
              <c:f>'[Graphs4a.xlsm]Monthly Indicators'!$C$50:$C$78</c:f>
              <c:numCache>
                <c:formatCode>0.0_ </c:formatCode>
                <c:ptCount val="29"/>
                <c:pt idx="0">
                  <c:v>11.766990291262132</c:v>
                </c:pt>
                <c:pt idx="1">
                  <c:v>6.9693349263242084</c:v>
                </c:pt>
                <c:pt idx="2">
                  <c:v>4.1634541249036374</c:v>
                </c:pt>
                <c:pt idx="3">
                  <c:v>-2.303120356612169</c:v>
                </c:pt>
                <c:pt idx="4">
                  <c:v>-5.4204308547602409</c:v>
                </c:pt>
                <c:pt idx="5">
                  <c:v>-5.3239017125837762</c:v>
                </c:pt>
                <c:pt idx="6">
                  <c:v>-1.7764618800888599</c:v>
                </c:pt>
                <c:pt idx="7">
                  <c:v>10.342205323193923</c:v>
                </c:pt>
                <c:pt idx="8">
                  <c:v>15.870683321087412</c:v>
                </c:pt>
                <c:pt idx="9">
                  <c:v>13.566653558788815</c:v>
                </c:pt>
                <c:pt idx="10">
                  <c:v>15.297663903541832</c:v>
                </c:pt>
                <c:pt idx="11">
                  <c:v>16.678152997932472</c:v>
                </c:pt>
                <c:pt idx="12">
                  <c:v>16.677235256816743</c:v>
                </c:pt>
                <c:pt idx="13">
                  <c:v>21.675900277008338</c:v>
                </c:pt>
                <c:pt idx="14">
                  <c:v>19.509803921568619</c:v>
                </c:pt>
                <c:pt idx="15">
                  <c:v>16.361488481984637</c:v>
                </c:pt>
                <c:pt idx="16">
                  <c:v>10.65217391304347</c:v>
                </c:pt>
                <c:pt idx="17">
                  <c:v>7.2566875355719844</c:v>
                </c:pt>
                <c:pt idx="18">
                  <c:v>4.1837571780147584</c:v>
                </c:pt>
                <c:pt idx="19">
                  <c:v>6.8781725888324701</c:v>
                </c:pt>
                <c:pt idx="20">
                  <c:v>13.801571709233798</c:v>
                </c:pt>
                <c:pt idx="21">
                  <c:v>14.96418148049878</c:v>
                </c:pt>
                <c:pt idx="22">
                  <c:v>6.9816272965879307</c:v>
                </c:pt>
                <c:pt idx="23">
                  <c:v>6.9342199002612119</c:v>
                </c:pt>
                <c:pt idx="24">
                  <c:v>4.661199827362978</c:v>
                </c:pt>
                <c:pt idx="25">
                  <c:v>-7.269789983844916</c:v>
                </c:pt>
                <c:pt idx="26">
                  <c:v>1.422963689892029</c:v>
                </c:pt>
                <c:pt idx="27">
                  <c:v>4.2999999999999972</c:v>
                </c:pt>
                <c:pt idx="28">
                  <c:v>1.5999999999999943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193140608"/>
        <c:axId val="193142144"/>
      </c:barChart>
      <c:barChart>
        <c:barDir val="col"/>
        <c:grouping val="clustered"/>
        <c:varyColors val="1"/>
        <c:ser>
          <c:idx val="1"/>
          <c:order val="1"/>
          <c:spPr>
            <a:solidFill>
              <a:srgbClr val="8064A2">
                <a:lumMod val="20000"/>
                <a:lumOff val="80000"/>
                <a:alpha val="47000"/>
              </a:srgbClr>
            </a:solidFill>
            <a:ln>
              <a:noFill/>
            </a:ln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/>
          </c:spPr>
          <c:invertIfNegative val="0"/>
          <c:val>
            <c:numRef>
              <c:f>'[Graphs4a.xlsm]Monthly Indicators'!$A$50:$A$78</c:f>
              <c:numCache>
                <c:formatCode>General</c:formatCode>
                <c:ptCount val="29"/>
                <c:pt idx="24" formatCode="g/&quot;通&quot;&quot;用&quot;&quot;格&quot;&quot;式&quot;">
                  <c:v>1</c:v>
                </c:pt>
                <c:pt idx="25" formatCode="g/&quot;通&quot;&quot;用&quot;&quot;格&quot;&quot;式&quot;">
                  <c:v>1</c:v>
                </c:pt>
                <c:pt idx="26" formatCode="g/&quot;通&quot;&quot;用&quot;&quot;格&quot;&quot;式&quot;">
                  <c:v>1</c:v>
                </c:pt>
                <c:pt idx="27" formatCode="g/&quot;通&quot;&quot;用&quot;&quot;格&quot;&quot;式&quot;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-4"/>
        <c:axId val="193154048"/>
        <c:axId val="193152512"/>
      </c:barChart>
      <c:catAx>
        <c:axId val="193140608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txPr>
          <a:bodyPr rot="-5400000" vert="horz"/>
          <a:lstStyle/>
          <a:p>
            <a:pPr>
              <a:defRPr sz="900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zh-HK"/>
          </a:p>
        </c:txPr>
        <c:crossAx val="193142144"/>
        <c:crosses val="autoZero"/>
        <c:auto val="0"/>
        <c:lblAlgn val="ctr"/>
        <c:lblOffset val="0"/>
        <c:tickLblSkip val="1"/>
        <c:tickMarkSkip val="1"/>
        <c:noMultiLvlLbl val="0"/>
      </c:catAx>
      <c:valAx>
        <c:axId val="193142144"/>
        <c:scaling>
          <c:orientation val="minMax"/>
        </c:scaling>
        <c:delete val="0"/>
        <c:axPos val="l"/>
        <c:majorGridlines>
          <c:spPr>
            <a:ln>
              <a:gradFill>
                <a:gsLst>
                  <a:gs pos="0">
                    <a:srgbClr val="5B9BD5">
                      <a:lumMod val="5000"/>
                      <a:lumOff val="95000"/>
                    </a:srgbClr>
                  </a:gs>
                  <a:gs pos="74000">
                    <a:srgbClr val="5B9BD5">
                      <a:lumMod val="45000"/>
                      <a:lumOff val="55000"/>
                    </a:srgbClr>
                  </a:gs>
                  <a:gs pos="83000">
                    <a:srgbClr val="5B9BD5">
                      <a:lumMod val="45000"/>
                      <a:lumOff val="55000"/>
                    </a:srgbClr>
                  </a:gs>
                  <a:gs pos="100000">
                    <a:srgbClr val="5B9BD5">
                      <a:lumMod val="30000"/>
                      <a:lumOff val="70000"/>
                    </a:srgbClr>
                  </a:gs>
                </a:gsLst>
                <a:lin ang="5400000" scaled="1"/>
              </a:gradFill>
              <a:prstDash val="solid"/>
            </a:ln>
          </c:spPr>
        </c:majorGridlines>
        <c:title>
          <c:tx>
            <c:rich>
              <a:bodyPr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900" b="1" i="0" u="none" strike="noStrike" kern="1200" baseline="0">
                    <a:solidFill>
                      <a:srgbClr val="00206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r>
                  <a:rPr lang="zh-TW" altLang="en-US"/>
                  <a:t>格年百分比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2957655293088365E-2"/>
              <c:y val="0.37853747494688356"/>
            </c:manualLayout>
          </c:layout>
          <c:overlay val="0"/>
        </c:title>
        <c:numFmt formatCode="0.0_ " sourceLinked="1"/>
        <c:majorTickMark val="cross"/>
        <c:minorTickMark val="none"/>
        <c:tickLblPos val="nextTo"/>
        <c:txPr>
          <a:bodyPr rot="0" vert="horz"/>
          <a:lstStyle/>
          <a:p>
            <a:pPr>
              <a:defRPr sz="900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zh-HK"/>
          </a:p>
        </c:txPr>
        <c:crossAx val="193140608"/>
        <c:crosses val="autoZero"/>
        <c:crossBetween val="between"/>
      </c:valAx>
      <c:valAx>
        <c:axId val="193152512"/>
        <c:scaling>
          <c:orientation val="minMax"/>
          <c:max val="1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>
                <a:solidFill>
                  <a:schemeClr val="bg1"/>
                </a:solidFill>
              </a:defRPr>
            </a:pPr>
            <a:endParaRPr lang="zh-HK"/>
          </a:p>
        </c:txPr>
        <c:crossAx val="193154048"/>
        <c:crosses val="max"/>
        <c:crossBetween val="between"/>
        <c:majorUnit val="1"/>
      </c:valAx>
      <c:catAx>
        <c:axId val="193154048"/>
        <c:scaling>
          <c:orientation val="minMax"/>
        </c:scaling>
        <c:delete val="1"/>
        <c:axPos val="b"/>
        <c:majorTickMark val="out"/>
        <c:minorTickMark val="none"/>
        <c:tickLblPos val="nextTo"/>
        <c:crossAx val="193152512"/>
        <c:crosses val="autoZero"/>
        <c:auto val="1"/>
        <c:lblAlgn val="ctr"/>
        <c:lblOffset val="100"/>
        <c:noMultiLvlLbl val="0"/>
      </c:catAx>
      <c:spPr>
        <a:noFill/>
        <a:ln w="2537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9"/>
      </a:pPr>
      <a:endParaRPr lang="zh-HK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HK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anchor="t" anchorCtr="1"/>
          <a:lstStyle/>
          <a:p>
            <a:pPr>
              <a:defRPr sz="1048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zh-TW" altLang="en-US" sz="1048" b="1" i="0" u="none" strike="noStrike" baseline="0">
                <a:effectLst/>
              </a:rPr>
              <a:t>固定資產投資總額</a:t>
            </a:r>
            <a:endParaRPr lang="en-US" altLang="zh-TW" sz="1048" b="1" i="0" u="none" strike="noStrike" baseline="0">
              <a:effectLst/>
            </a:endParaRPr>
          </a:p>
          <a:p>
            <a:pPr>
              <a:defRPr sz="1048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en-US" sz="900"/>
              <a:t>(2012 </a:t>
            </a:r>
            <a:r>
              <a:rPr lang="zh-TW" altLang="en-US" sz="900"/>
              <a:t>價格</a:t>
            </a:r>
            <a:r>
              <a:rPr lang="en-US" sz="900"/>
              <a:t>)</a:t>
            </a:r>
          </a:p>
        </c:rich>
      </c:tx>
      <c:layout>
        <c:manualLayout>
          <c:xMode val="edge"/>
          <c:yMode val="edge"/>
          <c:x val="0.40649466316710409"/>
          <c:y val="1.5334890242892942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2359965004374453"/>
          <c:y val="0.1362858664038975"/>
          <c:w val="0.8348503937007874"/>
          <c:h val="0.68112103500337273"/>
        </c:manualLayout>
      </c:layout>
      <c:barChart>
        <c:barDir val="col"/>
        <c:grouping val="clustered"/>
        <c:varyColors val="1"/>
        <c:ser>
          <c:idx val="0"/>
          <c:order val="0"/>
          <c:spPr>
            <a:solidFill>
              <a:srgbClr val="0070C0"/>
            </a:solidFill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Pt>
            <c:idx val="2"/>
            <c:invertIfNegative val="0"/>
            <c:bubble3D val="0"/>
          </c:dPt>
          <c:dPt>
            <c:idx val="3"/>
            <c:invertIfNegative val="0"/>
            <c:bubble3D val="0"/>
          </c:dPt>
          <c:dPt>
            <c:idx val="4"/>
            <c:invertIfNegative val="0"/>
            <c:bubble3D val="0"/>
          </c:dPt>
          <c:dPt>
            <c:idx val="5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8"/>
            <c:invertIfNegative val="0"/>
            <c:bubble3D val="0"/>
          </c:dPt>
          <c:dPt>
            <c:idx val="9"/>
            <c:invertIfNegative val="0"/>
            <c:bubble3D val="0"/>
          </c:dPt>
          <c:dPt>
            <c:idx val="10"/>
            <c:invertIfNegative val="0"/>
            <c:bubble3D val="0"/>
          </c:dPt>
          <c:dPt>
            <c:idx val="11"/>
            <c:invertIfNegative val="0"/>
            <c:bubble3D val="0"/>
          </c:dPt>
          <c:dPt>
            <c:idx val="12"/>
            <c:invertIfNegative val="0"/>
            <c:bubble3D val="0"/>
          </c:dPt>
          <c:dPt>
            <c:idx val="13"/>
            <c:invertIfNegative val="0"/>
            <c:bubble3D val="0"/>
          </c:dPt>
          <c:dPt>
            <c:idx val="14"/>
            <c:invertIfNegative val="0"/>
            <c:bubble3D val="0"/>
          </c:dPt>
          <c:dPt>
            <c:idx val="15"/>
            <c:invertIfNegative val="0"/>
            <c:bubble3D val="0"/>
          </c:dPt>
          <c:dPt>
            <c:idx val="16"/>
            <c:invertIfNegative val="0"/>
            <c:bubble3D val="0"/>
          </c:dPt>
          <c:dPt>
            <c:idx val="17"/>
            <c:invertIfNegative val="0"/>
            <c:bubble3D val="0"/>
          </c:dPt>
          <c:dPt>
            <c:idx val="18"/>
            <c:invertIfNegative val="0"/>
            <c:bubble3D val="0"/>
          </c:dPt>
          <c:dPt>
            <c:idx val="19"/>
            <c:invertIfNegative val="0"/>
            <c:bubble3D val="0"/>
          </c:dPt>
          <c:dPt>
            <c:idx val="20"/>
            <c:invertIfNegative val="0"/>
            <c:bubble3D val="0"/>
          </c:dPt>
          <c:dPt>
            <c:idx val="21"/>
            <c:invertIfNegative val="0"/>
            <c:bubble3D val="0"/>
          </c:dPt>
          <c:dPt>
            <c:idx val="22"/>
            <c:invertIfNegative val="0"/>
            <c:bubble3D val="0"/>
          </c:dPt>
          <c:dPt>
            <c:idx val="23"/>
            <c:invertIfNegative val="0"/>
            <c:bubble3D val="0"/>
          </c:dPt>
          <c:dPt>
            <c:idx val="24"/>
            <c:invertIfNegative val="0"/>
            <c:bubble3D val="0"/>
          </c:dPt>
          <c:dPt>
            <c:idx val="25"/>
            <c:invertIfNegative val="0"/>
            <c:bubble3D val="0"/>
          </c:dPt>
          <c:dPt>
            <c:idx val="26"/>
            <c:invertIfNegative val="0"/>
            <c:bubble3D val="0"/>
          </c:dPt>
          <c:dPt>
            <c:idx val="27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28"/>
            <c:invertIfNegative val="0"/>
            <c:bubble3D val="0"/>
            <c:spPr>
              <a:solidFill>
                <a:srgbClr val="FF0000"/>
              </a:solidFill>
            </c:spPr>
          </c:dPt>
          <c:dLbls>
            <c:dLbl>
              <c:idx val="37"/>
              <c:layout>
                <c:manualLayout>
                  <c:x val="0"/>
                  <c:y val="-1.2444444444444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8"/>
              <c:layout>
                <c:manualLayout>
                  <c:x val="0"/>
                  <c:y val="-8.88888888888882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9"/>
              <c:layout>
                <c:manualLayout>
                  <c:x val="0"/>
                  <c:y val="-3.555555555555620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0"/>
              <c:layout>
                <c:manualLayout>
                  <c:x val="0"/>
                  <c:y val="3.555555555555555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9"/>
              <c:layout>
                <c:manualLayout>
                  <c:x val="0"/>
                  <c:y val="-1.2444444444444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1"/>
              <c:layout>
                <c:manualLayout>
                  <c:x val="1.2472715933894605E-3"/>
                  <c:y val="-1.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70">
                <a:noFill/>
              </a:ln>
            </c:spPr>
            <c:txPr>
              <a:bodyPr/>
              <a:lstStyle/>
              <a:p>
                <a:pPr>
                  <a:defRPr sz="800">
                    <a:solidFill>
                      <a:srgbClr val="00206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endParaRPr lang="zh-H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'[Graphs4a.xlsm]data (2)'!$B$122:$B$170</c:f>
              <c:strCache>
                <c:ptCount val="29"/>
                <c:pt idx="0">
                  <c:v>08Q1</c:v>
                </c:pt>
                <c:pt idx="1">
                  <c:v>08Q2</c:v>
                </c:pt>
                <c:pt idx="2">
                  <c:v>08Q3</c:v>
                </c:pt>
                <c:pt idx="3">
                  <c:v>08Q4</c:v>
                </c:pt>
                <c:pt idx="4">
                  <c:v>09Q1</c:v>
                </c:pt>
                <c:pt idx="5">
                  <c:v>09Q2</c:v>
                </c:pt>
                <c:pt idx="6">
                  <c:v>09Q3</c:v>
                </c:pt>
                <c:pt idx="7">
                  <c:v>09Q4</c:v>
                </c:pt>
                <c:pt idx="8">
                  <c:v>10Q1</c:v>
                </c:pt>
                <c:pt idx="9">
                  <c:v>10Q2</c:v>
                </c:pt>
                <c:pt idx="10">
                  <c:v>10Q3</c:v>
                </c:pt>
                <c:pt idx="11">
                  <c:v>10Q4</c:v>
                </c:pt>
                <c:pt idx="12">
                  <c:v>11Q1</c:v>
                </c:pt>
                <c:pt idx="13">
                  <c:v>11Q2</c:v>
                </c:pt>
                <c:pt idx="14">
                  <c:v>11Q3</c:v>
                </c:pt>
                <c:pt idx="15">
                  <c:v>11Q4</c:v>
                </c:pt>
                <c:pt idx="16">
                  <c:v>12Q1</c:v>
                </c:pt>
                <c:pt idx="17">
                  <c:v>12Q2</c:v>
                </c:pt>
                <c:pt idx="18">
                  <c:v>12Q3</c:v>
                </c:pt>
                <c:pt idx="19">
                  <c:v>12Q4</c:v>
                </c:pt>
                <c:pt idx="20">
                  <c:v>13Q1</c:v>
                </c:pt>
                <c:pt idx="21">
                  <c:v>13Q2</c:v>
                </c:pt>
                <c:pt idx="22">
                  <c:v>13Q3</c:v>
                </c:pt>
                <c:pt idx="23">
                  <c:v>13Q4</c:v>
                </c:pt>
                <c:pt idx="24">
                  <c:v>14Q1</c:v>
                </c:pt>
                <c:pt idx="25">
                  <c:v>14Q2</c:v>
                </c:pt>
                <c:pt idx="26">
                  <c:v>14Q3</c:v>
                </c:pt>
                <c:pt idx="27">
                  <c:v>14Q4</c:v>
                </c:pt>
                <c:pt idx="28">
                  <c:v>15Q1</c:v>
                </c:pt>
              </c:strCache>
            </c:strRef>
          </c:cat>
          <c:val>
            <c:numRef>
              <c:f>'[Graphs4a.xlsm]data (2)'!$AG$122:$AG$170</c:f>
              <c:numCache>
                <c:formatCode>0.0</c:formatCode>
                <c:ptCount val="29"/>
                <c:pt idx="0">
                  <c:v>12.042242584252216</c:v>
                </c:pt>
                <c:pt idx="1">
                  <c:v>6.6916876766750732</c:v>
                </c:pt>
                <c:pt idx="2">
                  <c:v>4.4941987121044802</c:v>
                </c:pt>
                <c:pt idx="3">
                  <c:v>-15.712556596584037</c:v>
                </c:pt>
                <c:pt idx="4">
                  <c:v>-12.002846159532787</c:v>
                </c:pt>
                <c:pt idx="5">
                  <c:v>-12.492055961832815</c:v>
                </c:pt>
                <c:pt idx="6">
                  <c:v>1.6751772528562414</c:v>
                </c:pt>
                <c:pt idx="7">
                  <c:v>11.127539623444305</c:v>
                </c:pt>
                <c:pt idx="8">
                  <c:v>8.0250349165677868</c:v>
                </c:pt>
                <c:pt idx="9">
                  <c:v>15.273672043615694</c:v>
                </c:pt>
                <c:pt idx="10">
                  <c:v>0.14542761137406046</c:v>
                </c:pt>
                <c:pt idx="11">
                  <c:v>8.2874673354327975</c:v>
                </c:pt>
                <c:pt idx="12">
                  <c:v>4.9976183301091659</c:v>
                </c:pt>
                <c:pt idx="13">
                  <c:v>9.229335817915608</c:v>
                </c:pt>
                <c:pt idx="14">
                  <c:v>13.524068946233836</c:v>
                </c:pt>
                <c:pt idx="15">
                  <c:v>12.756234033713731</c:v>
                </c:pt>
                <c:pt idx="16">
                  <c:v>9.8639014906027214</c:v>
                </c:pt>
                <c:pt idx="17">
                  <c:v>3.8823357379606183</c:v>
                </c:pt>
                <c:pt idx="18">
                  <c:v>5.2255229892820054</c:v>
                </c:pt>
                <c:pt idx="19">
                  <c:v>8.5058011915961185</c:v>
                </c:pt>
                <c:pt idx="20">
                  <c:v>-2.9933256927122009</c:v>
                </c:pt>
                <c:pt idx="21">
                  <c:v>7.6003910068426217</c:v>
                </c:pt>
                <c:pt idx="22">
                  <c:v>2.6880096647538432</c:v>
                </c:pt>
                <c:pt idx="23">
                  <c:v>5.2568456036413469</c:v>
                </c:pt>
                <c:pt idx="24">
                  <c:v>3.4644520119535782</c:v>
                </c:pt>
                <c:pt idx="25">
                  <c:v>-5.7182725990958865</c:v>
                </c:pt>
                <c:pt idx="26">
                  <c:v>-4.6588235294117597</c:v>
                </c:pt>
                <c:pt idx="27">
                  <c:v>-5.068789748405278</c:v>
                </c:pt>
                <c:pt idx="28">
                  <c:v>5.4385314107813665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193341696"/>
        <c:axId val="193347584"/>
      </c:barChart>
      <c:barChart>
        <c:barDir val="col"/>
        <c:grouping val="clustered"/>
        <c:varyColors val="1"/>
        <c:ser>
          <c:idx val="1"/>
          <c:order val="1"/>
          <c:spPr>
            <a:solidFill>
              <a:srgbClr val="8064A2">
                <a:lumMod val="20000"/>
                <a:lumOff val="80000"/>
                <a:alpha val="47000"/>
              </a:srgbClr>
            </a:solidFill>
            <a:ln>
              <a:noFill/>
            </a:ln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/>
          </c:spPr>
          <c:invertIfNegative val="0"/>
          <c:val>
            <c:numRef>
              <c:f>'[Graphs4a.xlsm]data (2)'!$A$122:$A$170</c:f>
              <c:numCache>
                <c:formatCode>General</c:formatCode>
                <c:ptCount val="29"/>
                <c:pt idx="24" formatCode="g/&quot;通&quot;&quot;用&quot;&quot;格&quot;&quot;式&quot;">
                  <c:v>1</c:v>
                </c:pt>
                <c:pt idx="25" formatCode="g/&quot;通&quot;&quot;用&quot;&quot;格&quot;&quot;式&quot;">
                  <c:v>1</c:v>
                </c:pt>
                <c:pt idx="26" formatCode="g/&quot;通&quot;&quot;用&quot;&quot;格&quot;&quot;式&quot;">
                  <c:v>1</c:v>
                </c:pt>
                <c:pt idx="27" formatCode="g/&quot;通&quot;&quot;用&quot;&quot;格&quot;&quot;式&quot;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-4"/>
        <c:axId val="193351040"/>
        <c:axId val="193349504"/>
      </c:barChart>
      <c:catAx>
        <c:axId val="193341696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txPr>
          <a:bodyPr rot="-5400000" vert="horz"/>
          <a:lstStyle/>
          <a:p>
            <a:pPr>
              <a:defRPr sz="900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zh-HK"/>
          </a:p>
        </c:txPr>
        <c:crossAx val="193347584"/>
        <c:crosses val="autoZero"/>
        <c:auto val="0"/>
        <c:lblAlgn val="ctr"/>
        <c:lblOffset val="0"/>
        <c:tickLblSkip val="1"/>
        <c:tickMarkSkip val="1"/>
        <c:noMultiLvlLbl val="0"/>
      </c:catAx>
      <c:valAx>
        <c:axId val="193347584"/>
        <c:scaling>
          <c:orientation val="minMax"/>
        </c:scaling>
        <c:delete val="0"/>
        <c:axPos val="l"/>
        <c:majorGridlines>
          <c:spPr>
            <a:ln>
              <a:gradFill>
                <a:gsLst>
                  <a:gs pos="0">
                    <a:srgbClr val="5B9BD5">
                      <a:lumMod val="5000"/>
                      <a:lumOff val="95000"/>
                    </a:srgbClr>
                  </a:gs>
                  <a:gs pos="74000">
                    <a:srgbClr val="5B9BD5">
                      <a:lumMod val="45000"/>
                      <a:lumOff val="55000"/>
                    </a:srgbClr>
                  </a:gs>
                  <a:gs pos="83000">
                    <a:srgbClr val="5B9BD5">
                      <a:lumMod val="45000"/>
                      <a:lumOff val="55000"/>
                    </a:srgbClr>
                  </a:gs>
                  <a:gs pos="100000">
                    <a:srgbClr val="5B9BD5">
                      <a:lumMod val="30000"/>
                      <a:lumOff val="70000"/>
                    </a:srgbClr>
                  </a:gs>
                </a:gsLst>
                <a:lin ang="5400000" scaled="1"/>
              </a:gradFill>
              <a:prstDash val="solid"/>
            </a:ln>
          </c:spPr>
        </c:majorGridlines>
        <c:title>
          <c:tx>
            <c:rich>
              <a:bodyPr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900" b="1" i="0" u="none" strike="noStrike" kern="1200" baseline="0">
                    <a:solidFill>
                      <a:srgbClr val="00206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r>
                  <a:rPr lang="zh-TW" altLang="en-US" sz="900" b="1" i="0" u="none" strike="noStrike" baseline="0">
                    <a:effectLst/>
                  </a:rPr>
                  <a:t>按年百分比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2957655293088365E-2"/>
              <c:y val="0.39128038670221965"/>
            </c:manualLayout>
          </c:layout>
          <c:overlay val="0"/>
        </c:title>
        <c:numFmt formatCode="0.0" sourceLinked="1"/>
        <c:majorTickMark val="cross"/>
        <c:minorTickMark val="none"/>
        <c:tickLblPos val="nextTo"/>
        <c:txPr>
          <a:bodyPr rot="0" vert="horz"/>
          <a:lstStyle/>
          <a:p>
            <a:pPr>
              <a:defRPr sz="999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zh-HK"/>
          </a:p>
        </c:txPr>
        <c:crossAx val="193341696"/>
        <c:crosses val="autoZero"/>
        <c:crossBetween val="between"/>
      </c:valAx>
      <c:valAx>
        <c:axId val="193349504"/>
        <c:scaling>
          <c:orientation val="minMax"/>
          <c:max val="1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>
                <a:solidFill>
                  <a:schemeClr val="bg1"/>
                </a:solidFill>
              </a:defRPr>
            </a:pPr>
            <a:endParaRPr lang="zh-HK"/>
          </a:p>
        </c:txPr>
        <c:crossAx val="193351040"/>
        <c:crosses val="max"/>
        <c:crossBetween val="between"/>
        <c:majorUnit val="1"/>
      </c:valAx>
      <c:catAx>
        <c:axId val="193351040"/>
        <c:scaling>
          <c:orientation val="minMax"/>
        </c:scaling>
        <c:delete val="1"/>
        <c:axPos val="b"/>
        <c:majorTickMark val="out"/>
        <c:minorTickMark val="none"/>
        <c:tickLblPos val="nextTo"/>
        <c:crossAx val="193349504"/>
        <c:crosses val="autoZero"/>
        <c:auto val="1"/>
        <c:lblAlgn val="ctr"/>
        <c:lblOffset val="100"/>
        <c:noMultiLvlLbl val="0"/>
      </c:catAx>
      <c:spPr>
        <a:noFill/>
        <a:ln w="2537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9"/>
      </a:pPr>
      <a:endParaRPr lang="zh-HK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HK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anchor="t" anchorCtr="1"/>
          <a:lstStyle/>
          <a:p>
            <a:pPr>
              <a:defRPr sz="1048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zh-TW" altLang="en-US" sz="1048" b="1" i="0" u="none" strike="noStrike" baseline="0">
                <a:effectLst/>
              </a:rPr>
              <a:t>貨物出口</a:t>
            </a:r>
            <a:endParaRPr lang="en-US"/>
          </a:p>
          <a:p>
            <a:pPr>
              <a:defRPr sz="1048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en-US" sz="900"/>
              <a:t>(2012 </a:t>
            </a:r>
            <a:r>
              <a:rPr lang="zh-TW" altLang="en-US" sz="900"/>
              <a:t>價格</a:t>
            </a:r>
            <a:r>
              <a:rPr lang="en-US" sz="900"/>
              <a:t>)</a:t>
            </a:r>
          </a:p>
        </c:rich>
      </c:tx>
      <c:layout>
        <c:manualLayout>
          <c:xMode val="edge"/>
          <c:yMode val="edge"/>
          <c:x val="0.43982799650043747"/>
          <c:y val="1.4138378408220445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710104986876638"/>
          <c:y val="0.16696087835646314"/>
          <c:w val="0.84096150481189857"/>
          <c:h val="0.69868122312931746"/>
        </c:manualLayout>
      </c:layout>
      <c:barChart>
        <c:barDir val="col"/>
        <c:grouping val="clustered"/>
        <c:varyColors val="1"/>
        <c:ser>
          <c:idx val="0"/>
          <c:order val="0"/>
          <c:spPr>
            <a:solidFill>
              <a:srgbClr val="0070C0"/>
            </a:solidFill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Pt>
            <c:idx val="2"/>
            <c:invertIfNegative val="0"/>
            <c:bubble3D val="0"/>
          </c:dPt>
          <c:dPt>
            <c:idx val="3"/>
            <c:invertIfNegative val="0"/>
            <c:bubble3D val="0"/>
          </c:dPt>
          <c:dPt>
            <c:idx val="4"/>
            <c:invertIfNegative val="0"/>
            <c:bubble3D val="0"/>
          </c:dPt>
          <c:dPt>
            <c:idx val="5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8"/>
            <c:invertIfNegative val="0"/>
            <c:bubble3D val="0"/>
          </c:dPt>
          <c:dPt>
            <c:idx val="9"/>
            <c:invertIfNegative val="0"/>
            <c:bubble3D val="0"/>
          </c:dPt>
          <c:dPt>
            <c:idx val="10"/>
            <c:invertIfNegative val="0"/>
            <c:bubble3D val="0"/>
          </c:dPt>
          <c:dPt>
            <c:idx val="11"/>
            <c:invertIfNegative val="0"/>
            <c:bubble3D val="0"/>
          </c:dPt>
          <c:dPt>
            <c:idx val="12"/>
            <c:invertIfNegative val="0"/>
            <c:bubble3D val="0"/>
          </c:dPt>
          <c:dPt>
            <c:idx val="13"/>
            <c:invertIfNegative val="0"/>
            <c:bubble3D val="0"/>
          </c:dPt>
          <c:dPt>
            <c:idx val="14"/>
            <c:invertIfNegative val="0"/>
            <c:bubble3D val="0"/>
          </c:dPt>
          <c:dPt>
            <c:idx val="15"/>
            <c:invertIfNegative val="0"/>
            <c:bubble3D val="0"/>
          </c:dPt>
          <c:dPt>
            <c:idx val="16"/>
            <c:invertIfNegative val="0"/>
            <c:bubble3D val="0"/>
          </c:dPt>
          <c:dPt>
            <c:idx val="17"/>
            <c:invertIfNegative val="0"/>
            <c:bubble3D val="0"/>
          </c:dPt>
          <c:dPt>
            <c:idx val="18"/>
            <c:invertIfNegative val="0"/>
            <c:bubble3D val="0"/>
          </c:dPt>
          <c:dPt>
            <c:idx val="19"/>
            <c:invertIfNegative val="0"/>
            <c:bubble3D val="0"/>
          </c:dPt>
          <c:dPt>
            <c:idx val="20"/>
            <c:invertIfNegative val="0"/>
            <c:bubble3D val="0"/>
          </c:dPt>
          <c:dPt>
            <c:idx val="21"/>
            <c:invertIfNegative val="0"/>
            <c:bubble3D val="0"/>
          </c:dPt>
          <c:dPt>
            <c:idx val="22"/>
            <c:invertIfNegative val="0"/>
            <c:bubble3D val="0"/>
          </c:dPt>
          <c:dPt>
            <c:idx val="23"/>
            <c:invertIfNegative val="0"/>
            <c:bubble3D val="0"/>
          </c:dPt>
          <c:dPt>
            <c:idx val="24"/>
            <c:invertIfNegative val="0"/>
            <c:bubble3D val="0"/>
          </c:dPt>
          <c:dPt>
            <c:idx val="25"/>
            <c:invertIfNegative val="0"/>
            <c:bubble3D val="0"/>
          </c:dPt>
          <c:dPt>
            <c:idx val="26"/>
            <c:invertIfNegative val="0"/>
            <c:bubble3D val="0"/>
          </c:dPt>
          <c:dPt>
            <c:idx val="27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28"/>
            <c:invertIfNegative val="0"/>
            <c:bubble3D val="0"/>
            <c:spPr>
              <a:solidFill>
                <a:srgbClr val="FF0000"/>
              </a:solidFill>
            </c:spPr>
          </c:dPt>
          <c:dLbls>
            <c:dLbl>
              <c:idx val="22"/>
              <c:layout>
                <c:manualLayout>
                  <c:x val="-8.333333333333333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7"/>
              <c:layout>
                <c:manualLayout>
                  <c:x val="0"/>
                  <c:y val="-1.2444444444444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8"/>
              <c:layout>
                <c:manualLayout>
                  <c:x val="0"/>
                  <c:y val="-8.88888888888882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9"/>
              <c:layout>
                <c:manualLayout>
                  <c:x val="0"/>
                  <c:y val="-3.555555555555620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0"/>
              <c:layout>
                <c:manualLayout>
                  <c:x val="0"/>
                  <c:y val="3.555555555555555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9"/>
              <c:layout>
                <c:manualLayout>
                  <c:x val="0"/>
                  <c:y val="-1.2444444444444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1"/>
              <c:layout>
                <c:manualLayout>
                  <c:x val="1.2472715933894605E-3"/>
                  <c:y val="-1.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70">
                <a:noFill/>
              </a:ln>
            </c:spPr>
            <c:txPr>
              <a:bodyPr/>
              <a:lstStyle/>
              <a:p>
                <a:pPr>
                  <a:defRPr sz="800">
                    <a:solidFill>
                      <a:srgbClr val="00206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endParaRPr lang="zh-H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'[Graphs4a.xlsm]data (2)'!$B$130:$B$170</c:f>
              <c:strCache>
                <c:ptCount val="29"/>
                <c:pt idx="0">
                  <c:v>08Q1</c:v>
                </c:pt>
                <c:pt idx="1">
                  <c:v>08Q2</c:v>
                </c:pt>
                <c:pt idx="2">
                  <c:v>08Q3</c:v>
                </c:pt>
                <c:pt idx="3">
                  <c:v>08Q4</c:v>
                </c:pt>
                <c:pt idx="4">
                  <c:v>09Q1</c:v>
                </c:pt>
                <c:pt idx="5">
                  <c:v>09Q2</c:v>
                </c:pt>
                <c:pt idx="6">
                  <c:v>09Q3</c:v>
                </c:pt>
                <c:pt idx="7">
                  <c:v>09Q4</c:v>
                </c:pt>
                <c:pt idx="8">
                  <c:v>10Q1</c:v>
                </c:pt>
                <c:pt idx="9">
                  <c:v>10Q2</c:v>
                </c:pt>
                <c:pt idx="10">
                  <c:v>10Q3</c:v>
                </c:pt>
                <c:pt idx="11">
                  <c:v>10Q4</c:v>
                </c:pt>
                <c:pt idx="12">
                  <c:v>11Q1</c:v>
                </c:pt>
                <c:pt idx="13">
                  <c:v>11Q2</c:v>
                </c:pt>
                <c:pt idx="14">
                  <c:v>11Q3</c:v>
                </c:pt>
                <c:pt idx="15">
                  <c:v>11Q4</c:v>
                </c:pt>
                <c:pt idx="16">
                  <c:v>12Q1</c:v>
                </c:pt>
                <c:pt idx="17">
                  <c:v>12Q2</c:v>
                </c:pt>
                <c:pt idx="18">
                  <c:v>12Q3</c:v>
                </c:pt>
                <c:pt idx="19">
                  <c:v>12Q4</c:v>
                </c:pt>
                <c:pt idx="20">
                  <c:v>13Q1</c:v>
                </c:pt>
                <c:pt idx="21">
                  <c:v>13Q2</c:v>
                </c:pt>
                <c:pt idx="22">
                  <c:v>13Q3</c:v>
                </c:pt>
                <c:pt idx="23">
                  <c:v>13Q4</c:v>
                </c:pt>
                <c:pt idx="24">
                  <c:v>14Q1</c:v>
                </c:pt>
                <c:pt idx="25">
                  <c:v>14Q2</c:v>
                </c:pt>
                <c:pt idx="26">
                  <c:v>14Q3</c:v>
                </c:pt>
                <c:pt idx="27">
                  <c:v>14Q4</c:v>
                </c:pt>
                <c:pt idx="28">
                  <c:v>15Q1</c:v>
                </c:pt>
              </c:strCache>
            </c:strRef>
          </c:cat>
          <c:val>
            <c:numRef>
              <c:f>'[Graphs4a.xlsm]data (2)'!$AA$130:$AA$170</c:f>
              <c:numCache>
                <c:formatCode>0.0</c:formatCode>
                <c:ptCount val="29"/>
                <c:pt idx="0">
                  <c:v>8.3071844676434701</c:v>
                </c:pt>
                <c:pt idx="1">
                  <c:v>4.2407433331000277</c:v>
                </c:pt>
                <c:pt idx="2">
                  <c:v>1.227174542058429</c:v>
                </c:pt>
                <c:pt idx="3">
                  <c:v>-5.0283707630918499</c:v>
                </c:pt>
                <c:pt idx="4">
                  <c:v>-22.548522446457987</c:v>
                </c:pt>
                <c:pt idx="5">
                  <c:v>-12.633078377603868</c:v>
                </c:pt>
                <c:pt idx="6">
                  <c:v>-13.078753492331586</c:v>
                </c:pt>
                <c:pt idx="7">
                  <c:v>-2.6876572731778015</c:v>
                </c:pt>
                <c:pt idx="8">
                  <c:v>21.567317583051238</c:v>
                </c:pt>
                <c:pt idx="9">
                  <c:v>20.144350921784525</c:v>
                </c:pt>
                <c:pt idx="10">
                  <c:v>20.774102634564116</c:v>
                </c:pt>
                <c:pt idx="11">
                  <c:v>8.2810885376236598</c:v>
                </c:pt>
                <c:pt idx="12">
                  <c:v>16.312852674861112</c:v>
                </c:pt>
                <c:pt idx="13">
                  <c:v>-0.28660495921390972</c:v>
                </c:pt>
                <c:pt idx="14">
                  <c:v>-2.1705068577793973</c:v>
                </c:pt>
                <c:pt idx="15">
                  <c:v>2.3697299222494861</c:v>
                </c:pt>
                <c:pt idx="16">
                  <c:v>-4.6747578121235538</c:v>
                </c:pt>
                <c:pt idx="17">
                  <c:v>0.28891801235404468</c:v>
                </c:pt>
                <c:pt idx="18">
                  <c:v>4.5858028930361394</c:v>
                </c:pt>
                <c:pt idx="19">
                  <c:v>6.6514564557532241</c:v>
                </c:pt>
                <c:pt idx="20">
                  <c:v>8.784236948781432</c:v>
                </c:pt>
                <c:pt idx="21">
                  <c:v>6.1464370814932945</c:v>
                </c:pt>
                <c:pt idx="22">
                  <c:v>6.0890625790458897</c:v>
                </c:pt>
                <c:pt idx="23">
                  <c:v>5.6684657480965406</c:v>
                </c:pt>
                <c:pt idx="24">
                  <c:v>0.46613521434513139</c:v>
                </c:pt>
                <c:pt idx="25">
                  <c:v>2.3513788657852253</c:v>
                </c:pt>
                <c:pt idx="26">
                  <c:v>1.3217894078025871</c:v>
                </c:pt>
                <c:pt idx="27">
                  <c:v>0.87514218909787722</c:v>
                </c:pt>
                <c:pt idx="28">
                  <c:v>1.9295074958210146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193383040"/>
        <c:axId val="193384832"/>
      </c:barChart>
      <c:barChart>
        <c:barDir val="col"/>
        <c:grouping val="clustered"/>
        <c:varyColors val="1"/>
        <c:ser>
          <c:idx val="1"/>
          <c:order val="1"/>
          <c:spPr>
            <a:solidFill>
              <a:srgbClr val="8064A2">
                <a:lumMod val="20000"/>
                <a:lumOff val="80000"/>
                <a:alpha val="47000"/>
              </a:srgbClr>
            </a:solidFill>
            <a:ln>
              <a:noFill/>
            </a:ln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/>
          </c:spPr>
          <c:invertIfNegative val="0"/>
          <c:val>
            <c:numRef>
              <c:f>'[Graphs4a.xlsm]data (2)'!$A$130:$A$170</c:f>
              <c:numCache>
                <c:formatCode>General</c:formatCode>
                <c:ptCount val="29"/>
                <c:pt idx="24" formatCode="g/&quot;通&quot;&quot;用&quot;&quot;格&quot;&quot;式&quot;">
                  <c:v>1</c:v>
                </c:pt>
                <c:pt idx="25" formatCode="g/&quot;通&quot;&quot;用&quot;&quot;格&quot;&quot;式&quot;">
                  <c:v>1</c:v>
                </c:pt>
                <c:pt idx="26" formatCode="g/&quot;通&quot;&quot;用&quot;&quot;格&quot;&quot;式&quot;">
                  <c:v>1</c:v>
                </c:pt>
                <c:pt idx="27" formatCode="g/&quot;通&quot;&quot;用&quot;&quot;格&quot;&quot;式&quot;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-4"/>
        <c:axId val="193527808"/>
        <c:axId val="193386752"/>
      </c:barChart>
      <c:catAx>
        <c:axId val="193383040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txPr>
          <a:bodyPr rot="-5400000" vert="horz"/>
          <a:lstStyle/>
          <a:p>
            <a:pPr>
              <a:defRPr sz="900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zh-HK"/>
          </a:p>
        </c:txPr>
        <c:crossAx val="193384832"/>
        <c:crosses val="autoZero"/>
        <c:auto val="0"/>
        <c:lblAlgn val="ctr"/>
        <c:lblOffset val="0"/>
        <c:tickLblSkip val="1"/>
        <c:tickMarkSkip val="1"/>
        <c:noMultiLvlLbl val="0"/>
      </c:catAx>
      <c:valAx>
        <c:axId val="193384832"/>
        <c:scaling>
          <c:orientation val="minMax"/>
        </c:scaling>
        <c:delete val="0"/>
        <c:axPos val="l"/>
        <c:majorGridlines>
          <c:spPr>
            <a:ln>
              <a:gradFill>
                <a:gsLst>
                  <a:gs pos="0">
                    <a:srgbClr val="5B9BD5">
                      <a:lumMod val="5000"/>
                      <a:lumOff val="95000"/>
                    </a:srgbClr>
                  </a:gs>
                  <a:gs pos="74000">
                    <a:srgbClr val="5B9BD5">
                      <a:lumMod val="45000"/>
                      <a:lumOff val="55000"/>
                    </a:srgbClr>
                  </a:gs>
                  <a:gs pos="83000">
                    <a:srgbClr val="5B9BD5">
                      <a:lumMod val="45000"/>
                      <a:lumOff val="55000"/>
                    </a:srgbClr>
                  </a:gs>
                  <a:gs pos="100000">
                    <a:srgbClr val="5B9BD5">
                      <a:lumMod val="30000"/>
                      <a:lumOff val="70000"/>
                    </a:srgbClr>
                  </a:gs>
                </a:gsLst>
                <a:lin ang="5400000" scaled="1"/>
              </a:gradFill>
              <a:prstDash val="solid"/>
            </a:ln>
          </c:spPr>
        </c:majorGridlines>
        <c:title>
          <c:tx>
            <c:rich>
              <a:bodyPr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900" b="1" i="0" u="none" strike="noStrike" kern="1200" baseline="0">
                    <a:solidFill>
                      <a:srgbClr val="00206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r>
                  <a:rPr lang="zh-TW" altLang="en-US"/>
                  <a:t>按年百分比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073543307086614E-2"/>
              <c:y val="0.38337899480356369"/>
            </c:manualLayout>
          </c:layout>
          <c:overlay val="0"/>
        </c:title>
        <c:numFmt formatCode="0.0" sourceLinked="1"/>
        <c:majorTickMark val="cross"/>
        <c:minorTickMark val="none"/>
        <c:tickLblPos val="nextTo"/>
        <c:txPr>
          <a:bodyPr rot="0" vert="horz"/>
          <a:lstStyle/>
          <a:p>
            <a:pPr>
              <a:defRPr sz="800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zh-HK"/>
          </a:p>
        </c:txPr>
        <c:crossAx val="193383040"/>
        <c:crosses val="autoZero"/>
        <c:crossBetween val="between"/>
      </c:valAx>
      <c:valAx>
        <c:axId val="193386752"/>
        <c:scaling>
          <c:orientation val="minMax"/>
          <c:max val="1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>
                <a:solidFill>
                  <a:schemeClr val="bg1"/>
                </a:solidFill>
              </a:defRPr>
            </a:pPr>
            <a:endParaRPr lang="zh-HK"/>
          </a:p>
        </c:txPr>
        <c:crossAx val="193527808"/>
        <c:crosses val="max"/>
        <c:crossBetween val="between"/>
        <c:majorUnit val="1"/>
      </c:valAx>
      <c:catAx>
        <c:axId val="193527808"/>
        <c:scaling>
          <c:orientation val="minMax"/>
        </c:scaling>
        <c:delete val="1"/>
        <c:axPos val="b"/>
        <c:majorTickMark val="out"/>
        <c:minorTickMark val="none"/>
        <c:tickLblPos val="nextTo"/>
        <c:crossAx val="193386752"/>
        <c:crosses val="autoZero"/>
        <c:auto val="1"/>
        <c:lblAlgn val="ctr"/>
        <c:lblOffset val="100"/>
        <c:noMultiLvlLbl val="0"/>
      </c:catAx>
      <c:spPr>
        <a:noFill/>
        <a:ln w="2537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9"/>
      </a:pPr>
      <a:endParaRPr lang="zh-HK"/>
    </a:p>
  </c:txPr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HK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anchor="t" anchorCtr="1"/>
          <a:lstStyle/>
          <a:p>
            <a:pPr>
              <a:defRPr sz="1048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zh-TW" altLang="en-US" sz="1048" b="1" i="0" u="none" strike="noStrike" baseline="0">
                <a:effectLst/>
              </a:rPr>
              <a:t>貨物進口</a:t>
            </a:r>
            <a:endParaRPr lang="en-US" altLang="zh-TW" sz="1048" b="1" i="0" u="none" strike="noStrike" baseline="0">
              <a:effectLst/>
            </a:endParaRPr>
          </a:p>
          <a:p>
            <a:pPr>
              <a:defRPr sz="1048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en-US"/>
              <a:t> </a:t>
            </a:r>
            <a:r>
              <a:rPr lang="en-US" sz="900"/>
              <a:t>(2012 </a:t>
            </a:r>
            <a:r>
              <a:rPr lang="zh-TW" altLang="en-US" sz="900"/>
              <a:t>價格</a:t>
            </a:r>
            <a:r>
              <a:rPr lang="en-US" sz="900"/>
              <a:t>)</a:t>
            </a:r>
          </a:p>
        </c:rich>
      </c:tx>
      <c:layout>
        <c:manualLayout>
          <c:xMode val="edge"/>
          <c:yMode val="edge"/>
          <c:x val="0.44427244094488189"/>
          <c:y val="6.5435666695509206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1987882764654419"/>
          <c:y val="0.16265951371463183"/>
          <c:w val="0.82818372703412069"/>
          <c:h val="0.71189028294540102"/>
        </c:manualLayout>
      </c:layout>
      <c:barChart>
        <c:barDir val="col"/>
        <c:grouping val="clustered"/>
        <c:varyColors val="1"/>
        <c:ser>
          <c:idx val="0"/>
          <c:order val="0"/>
          <c:spPr>
            <a:solidFill>
              <a:srgbClr val="0070C0"/>
            </a:solidFill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Pt>
            <c:idx val="2"/>
            <c:invertIfNegative val="0"/>
            <c:bubble3D val="0"/>
          </c:dPt>
          <c:dPt>
            <c:idx val="3"/>
            <c:invertIfNegative val="0"/>
            <c:bubble3D val="0"/>
          </c:dPt>
          <c:dPt>
            <c:idx val="4"/>
            <c:invertIfNegative val="0"/>
            <c:bubble3D val="0"/>
          </c:dPt>
          <c:dPt>
            <c:idx val="5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8"/>
            <c:invertIfNegative val="0"/>
            <c:bubble3D val="0"/>
          </c:dPt>
          <c:dPt>
            <c:idx val="9"/>
            <c:invertIfNegative val="0"/>
            <c:bubble3D val="0"/>
          </c:dPt>
          <c:dPt>
            <c:idx val="10"/>
            <c:invertIfNegative val="0"/>
            <c:bubble3D val="0"/>
          </c:dPt>
          <c:dPt>
            <c:idx val="11"/>
            <c:invertIfNegative val="0"/>
            <c:bubble3D val="0"/>
          </c:dPt>
          <c:dPt>
            <c:idx val="12"/>
            <c:invertIfNegative val="0"/>
            <c:bubble3D val="0"/>
          </c:dPt>
          <c:dPt>
            <c:idx val="13"/>
            <c:invertIfNegative val="0"/>
            <c:bubble3D val="0"/>
          </c:dPt>
          <c:dPt>
            <c:idx val="14"/>
            <c:invertIfNegative val="0"/>
            <c:bubble3D val="0"/>
          </c:dPt>
          <c:dPt>
            <c:idx val="15"/>
            <c:invertIfNegative val="0"/>
            <c:bubble3D val="0"/>
          </c:dPt>
          <c:dPt>
            <c:idx val="16"/>
            <c:invertIfNegative val="0"/>
            <c:bubble3D val="0"/>
          </c:dPt>
          <c:dPt>
            <c:idx val="17"/>
            <c:invertIfNegative val="0"/>
            <c:bubble3D val="0"/>
          </c:dPt>
          <c:dPt>
            <c:idx val="18"/>
            <c:invertIfNegative val="0"/>
            <c:bubble3D val="0"/>
          </c:dPt>
          <c:dPt>
            <c:idx val="19"/>
            <c:invertIfNegative val="0"/>
            <c:bubble3D val="0"/>
          </c:dPt>
          <c:dPt>
            <c:idx val="20"/>
            <c:invertIfNegative val="0"/>
            <c:bubble3D val="0"/>
          </c:dPt>
          <c:dPt>
            <c:idx val="21"/>
            <c:invertIfNegative val="0"/>
            <c:bubble3D val="0"/>
          </c:dPt>
          <c:dPt>
            <c:idx val="22"/>
            <c:invertIfNegative val="0"/>
            <c:bubble3D val="0"/>
          </c:dPt>
          <c:dPt>
            <c:idx val="23"/>
            <c:invertIfNegative val="0"/>
            <c:bubble3D val="0"/>
          </c:dPt>
          <c:dPt>
            <c:idx val="24"/>
            <c:invertIfNegative val="0"/>
            <c:bubble3D val="0"/>
          </c:dPt>
          <c:dPt>
            <c:idx val="25"/>
            <c:invertIfNegative val="0"/>
            <c:bubble3D val="0"/>
          </c:dPt>
          <c:dPt>
            <c:idx val="26"/>
            <c:invertIfNegative val="0"/>
            <c:bubble3D val="0"/>
          </c:dPt>
          <c:dPt>
            <c:idx val="27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28"/>
            <c:invertIfNegative val="0"/>
            <c:bubble3D val="0"/>
            <c:spPr>
              <a:solidFill>
                <a:srgbClr val="FF0000"/>
              </a:solidFill>
            </c:spPr>
          </c:dPt>
          <c:dLbls>
            <c:dLbl>
              <c:idx val="37"/>
              <c:layout>
                <c:manualLayout>
                  <c:x val="0"/>
                  <c:y val="-1.2444444444444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8"/>
              <c:layout>
                <c:manualLayout>
                  <c:x val="0"/>
                  <c:y val="-8.88888888888882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9"/>
              <c:layout>
                <c:manualLayout>
                  <c:x val="0"/>
                  <c:y val="-3.555555555555620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0"/>
              <c:layout>
                <c:manualLayout>
                  <c:x val="0"/>
                  <c:y val="3.555555555555555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9"/>
              <c:layout>
                <c:manualLayout>
                  <c:x val="0"/>
                  <c:y val="-1.2444444444444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1"/>
              <c:layout>
                <c:manualLayout>
                  <c:x val="1.2472715933894605E-3"/>
                  <c:y val="-1.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70">
                <a:noFill/>
              </a:ln>
            </c:spPr>
            <c:txPr>
              <a:bodyPr/>
              <a:lstStyle/>
              <a:p>
                <a:pPr>
                  <a:defRPr sz="800">
                    <a:solidFill>
                      <a:srgbClr val="00206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endParaRPr lang="zh-H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trendline>
            <c:trendlineType val="linear"/>
            <c:dispRSqr val="0"/>
            <c:dispEq val="0"/>
          </c:trendline>
          <c:cat>
            <c:strRef>
              <c:f>'[Graphs4a.xlsm]data (2)'!$B$122:$B$170</c:f>
              <c:strCache>
                <c:ptCount val="29"/>
                <c:pt idx="0">
                  <c:v>08Q1</c:v>
                </c:pt>
                <c:pt idx="1">
                  <c:v>08Q2</c:v>
                </c:pt>
                <c:pt idx="2">
                  <c:v>08Q3</c:v>
                </c:pt>
                <c:pt idx="3">
                  <c:v>08Q4</c:v>
                </c:pt>
                <c:pt idx="4">
                  <c:v>09Q1</c:v>
                </c:pt>
                <c:pt idx="5">
                  <c:v>09Q2</c:v>
                </c:pt>
                <c:pt idx="6">
                  <c:v>09Q3</c:v>
                </c:pt>
                <c:pt idx="7">
                  <c:v>09Q4</c:v>
                </c:pt>
                <c:pt idx="8">
                  <c:v>10Q1</c:v>
                </c:pt>
                <c:pt idx="9">
                  <c:v>10Q2</c:v>
                </c:pt>
                <c:pt idx="10">
                  <c:v>10Q3</c:v>
                </c:pt>
                <c:pt idx="11">
                  <c:v>10Q4</c:v>
                </c:pt>
                <c:pt idx="12">
                  <c:v>11Q1</c:v>
                </c:pt>
                <c:pt idx="13">
                  <c:v>11Q2</c:v>
                </c:pt>
                <c:pt idx="14">
                  <c:v>11Q3</c:v>
                </c:pt>
                <c:pt idx="15">
                  <c:v>11Q4</c:v>
                </c:pt>
                <c:pt idx="16">
                  <c:v>12Q1</c:v>
                </c:pt>
                <c:pt idx="17">
                  <c:v>12Q2</c:v>
                </c:pt>
                <c:pt idx="18">
                  <c:v>12Q3</c:v>
                </c:pt>
                <c:pt idx="19">
                  <c:v>12Q4</c:v>
                </c:pt>
                <c:pt idx="20">
                  <c:v>13Q1</c:v>
                </c:pt>
                <c:pt idx="21">
                  <c:v>13Q2</c:v>
                </c:pt>
                <c:pt idx="22">
                  <c:v>13Q3</c:v>
                </c:pt>
                <c:pt idx="23">
                  <c:v>13Q4</c:v>
                </c:pt>
                <c:pt idx="24">
                  <c:v>14Q1</c:v>
                </c:pt>
                <c:pt idx="25">
                  <c:v>14Q2</c:v>
                </c:pt>
                <c:pt idx="26">
                  <c:v>14Q3</c:v>
                </c:pt>
                <c:pt idx="27">
                  <c:v>14Q4</c:v>
                </c:pt>
                <c:pt idx="28">
                  <c:v>15Q1</c:v>
                </c:pt>
              </c:strCache>
            </c:strRef>
          </c:cat>
          <c:val>
            <c:numRef>
              <c:f>'[Graphs4a.xlsm]data (2)'!$M$122:$M$170</c:f>
              <c:numCache>
                <c:formatCode>0.0</c:formatCode>
                <c:ptCount val="29"/>
                <c:pt idx="0">
                  <c:v>8.3820364163185381</c:v>
                </c:pt>
                <c:pt idx="1">
                  <c:v>4.8395217045180905</c:v>
                </c:pt>
                <c:pt idx="2">
                  <c:v>2.0226482692052627</c:v>
                </c:pt>
                <c:pt idx="3">
                  <c:v>-6.4451682170780895</c:v>
                </c:pt>
                <c:pt idx="4">
                  <c:v>-20.806892471031833</c:v>
                </c:pt>
                <c:pt idx="5">
                  <c:v>-12.625631039795337</c:v>
                </c:pt>
                <c:pt idx="6">
                  <c:v>-8.2760310678784084</c:v>
                </c:pt>
                <c:pt idx="7">
                  <c:v>3.2605567904003818</c:v>
                </c:pt>
                <c:pt idx="8">
                  <c:v>28.280212774646117</c:v>
                </c:pt>
                <c:pt idx="9">
                  <c:v>23.417958727827013</c:v>
                </c:pt>
                <c:pt idx="10">
                  <c:v>16.745149330012833</c:v>
                </c:pt>
                <c:pt idx="11">
                  <c:v>7.5196136406274094</c:v>
                </c:pt>
                <c:pt idx="12">
                  <c:v>12.137136281478833</c:v>
                </c:pt>
                <c:pt idx="13">
                  <c:v>2.1325553264968988</c:v>
                </c:pt>
                <c:pt idx="14">
                  <c:v>1.5668513630353154</c:v>
                </c:pt>
                <c:pt idx="15">
                  <c:v>4.185718090289714</c:v>
                </c:pt>
                <c:pt idx="16">
                  <c:v>-1.7655532073725944</c:v>
                </c:pt>
                <c:pt idx="17">
                  <c:v>1.2174752903003183</c:v>
                </c:pt>
                <c:pt idx="18">
                  <c:v>4.7332490221106305</c:v>
                </c:pt>
                <c:pt idx="19">
                  <c:v>7.5891930220441051</c:v>
                </c:pt>
                <c:pt idx="20">
                  <c:v>9.5121684944204041</c:v>
                </c:pt>
                <c:pt idx="21">
                  <c:v>7.6003509325342167</c:v>
                </c:pt>
                <c:pt idx="22">
                  <c:v>6.6237411599427309</c:v>
                </c:pt>
                <c:pt idx="23">
                  <c:v>6.0664540801232292</c:v>
                </c:pt>
                <c:pt idx="24">
                  <c:v>1.2153405592423505</c:v>
                </c:pt>
                <c:pt idx="25">
                  <c:v>1.125931137721814</c:v>
                </c:pt>
                <c:pt idx="26">
                  <c:v>0.66186765103215528</c:v>
                </c:pt>
                <c:pt idx="27">
                  <c:v>0.47847668559657386</c:v>
                </c:pt>
                <c:pt idx="28">
                  <c:v>2.811737928099034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193564672"/>
        <c:axId val="193566208"/>
      </c:barChart>
      <c:barChart>
        <c:barDir val="col"/>
        <c:grouping val="clustered"/>
        <c:varyColors val="1"/>
        <c:ser>
          <c:idx val="1"/>
          <c:order val="1"/>
          <c:spPr>
            <a:solidFill>
              <a:srgbClr val="8064A2">
                <a:lumMod val="20000"/>
                <a:lumOff val="80000"/>
                <a:alpha val="47000"/>
              </a:srgbClr>
            </a:solidFill>
            <a:ln>
              <a:noFill/>
            </a:ln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/>
          </c:spPr>
          <c:invertIfNegative val="0"/>
          <c:val>
            <c:numRef>
              <c:f>'[Graphs4a.xlsm]data (2)'!$A$122:$A$170</c:f>
              <c:numCache>
                <c:formatCode>General</c:formatCode>
                <c:ptCount val="29"/>
                <c:pt idx="24" formatCode="g/&quot;通&quot;&quot;用&quot;&quot;格&quot;&quot;式&quot;">
                  <c:v>1</c:v>
                </c:pt>
                <c:pt idx="25" formatCode="g/&quot;通&quot;&quot;用&quot;&quot;格&quot;&quot;式&quot;">
                  <c:v>1</c:v>
                </c:pt>
                <c:pt idx="26" formatCode="g/&quot;通&quot;&quot;用&quot;&quot;格&quot;&quot;式&quot;">
                  <c:v>1</c:v>
                </c:pt>
                <c:pt idx="27" formatCode="g/&quot;通&quot;&quot;用&quot;&quot;格&quot;&quot;式&quot;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-4"/>
        <c:axId val="193582208"/>
        <c:axId val="193568128"/>
      </c:barChart>
      <c:catAx>
        <c:axId val="193564672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txPr>
          <a:bodyPr rot="-5400000" vert="horz"/>
          <a:lstStyle/>
          <a:p>
            <a:pPr>
              <a:defRPr sz="900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zh-HK"/>
          </a:p>
        </c:txPr>
        <c:crossAx val="193566208"/>
        <c:crosses val="autoZero"/>
        <c:auto val="0"/>
        <c:lblAlgn val="ctr"/>
        <c:lblOffset val="0"/>
        <c:tickLblSkip val="1"/>
        <c:tickMarkSkip val="1"/>
        <c:noMultiLvlLbl val="0"/>
      </c:catAx>
      <c:valAx>
        <c:axId val="193566208"/>
        <c:scaling>
          <c:orientation val="minMax"/>
        </c:scaling>
        <c:delete val="0"/>
        <c:axPos val="l"/>
        <c:majorGridlines>
          <c:spPr>
            <a:ln>
              <a:gradFill>
                <a:gsLst>
                  <a:gs pos="0">
                    <a:srgbClr val="5B9BD5">
                      <a:lumMod val="5000"/>
                      <a:lumOff val="95000"/>
                    </a:srgbClr>
                  </a:gs>
                  <a:gs pos="74000">
                    <a:srgbClr val="5B9BD5">
                      <a:lumMod val="45000"/>
                      <a:lumOff val="55000"/>
                    </a:srgbClr>
                  </a:gs>
                  <a:gs pos="83000">
                    <a:srgbClr val="5B9BD5">
                      <a:lumMod val="45000"/>
                      <a:lumOff val="55000"/>
                    </a:srgbClr>
                  </a:gs>
                  <a:gs pos="100000">
                    <a:srgbClr val="5B9BD5">
                      <a:lumMod val="30000"/>
                      <a:lumOff val="70000"/>
                    </a:srgbClr>
                  </a:gs>
                </a:gsLst>
                <a:lin ang="5400000" scaled="1"/>
              </a:gradFill>
              <a:prstDash val="solid"/>
            </a:ln>
          </c:spPr>
        </c:majorGridlines>
        <c:title>
          <c:tx>
            <c:rich>
              <a:bodyPr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900" b="1" i="0" u="none" strike="noStrike" kern="1200" baseline="0">
                    <a:solidFill>
                      <a:srgbClr val="00206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r>
                  <a:rPr lang="zh-TW" altLang="en-US"/>
                  <a:t>按年百分比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2957655293088365E-2"/>
              <c:y val="0.44540278619018775"/>
            </c:manualLayout>
          </c:layout>
          <c:overlay val="0"/>
        </c:title>
        <c:numFmt formatCode="0.0" sourceLinked="1"/>
        <c:majorTickMark val="cross"/>
        <c:minorTickMark val="none"/>
        <c:tickLblPos val="nextTo"/>
        <c:txPr>
          <a:bodyPr rot="0" vert="horz"/>
          <a:lstStyle/>
          <a:p>
            <a:pPr>
              <a:defRPr sz="900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zh-HK"/>
          </a:p>
        </c:txPr>
        <c:crossAx val="193564672"/>
        <c:crosses val="autoZero"/>
        <c:crossBetween val="between"/>
      </c:valAx>
      <c:valAx>
        <c:axId val="193568128"/>
        <c:scaling>
          <c:orientation val="minMax"/>
          <c:max val="1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>
                <a:solidFill>
                  <a:schemeClr val="bg1"/>
                </a:solidFill>
              </a:defRPr>
            </a:pPr>
            <a:endParaRPr lang="zh-HK"/>
          </a:p>
        </c:txPr>
        <c:crossAx val="193582208"/>
        <c:crosses val="max"/>
        <c:crossBetween val="between"/>
        <c:majorUnit val="1"/>
      </c:valAx>
      <c:catAx>
        <c:axId val="193582208"/>
        <c:scaling>
          <c:orientation val="minMax"/>
        </c:scaling>
        <c:delete val="1"/>
        <c:axPos val="b"/>
        <c:majorTickMark val="out"/>
        <c:minorTickMark val="none"/>
        <c:tickLblPos val="nextTo"/>
        <c:crossAx val="193568128"/>
        <c:crosses val="autoZero"/>
        <c:auto val="1"/>
        <c:lblAlgn val="ctr"/>
        <c:lblOffset val="100"/>
        <c:noMultiLvlLbl val="0"/>
      </c:catAx>
      <c:spPr>
        <a:noFill/>
        <a:ln w="2537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9"/>
      </a:pPr>
      <a:endParaRPr lang="zh-HK"/>
    </a:p>
  </c:txPr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HK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anchor="t" anchorCtr="1"/>
          <a:lstStyle/>
          <a:p>
            <a:pPr>
              <a:defRPr sz="1048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zh-TW" altLang="en-US"/>
              <a:t>服務出口</a:t>
            </a:r>
            <a:endParaRPr lang="en-US"/>
          </a:p>
          <a:p>
            <a:pPr>
              <a:defRPr sz="1048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en-US" sz="900"/>
              <a:t>(2012 </a:t>
            </a:r>
            <a:r>
              <a:rPr lang="zh-TW" altLang="en-US" sz="900"/>
              <a:t>價格</a:t>
            </a:r>
            <a:r>
              <a:rPr lang="en-US" sz="900"/>
              <a:t>)</a:t>
            </a:r>
          </a:p>
        </c:rich>
      </c:tx>
      <c:layout>
        <c:manualLayout>
          <c:xMode val="edge"/>
          <c:yMode val="edge"/>
          <c:x val="0.43982799650043747"/>
          <c:y val="1.4542085613531437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302663167104112"/>
          <c:y val="0.18010724119607749"/>
          <c:w val="0.82818372703412069"/>
          <c:h val="0.68988523673804591"/>
        </c:manualLayout>
      </c:layout>
      <c:barChart>
        <c:barDir val="col"/>
        <c:grouping val="clustered"/>
        <c:varyColors val="1"/>
        <c:ser>
          <c:idx val="0"/>
          <c:order val="0"/>
          <c:spPr>
            <a:solidFill>
              <a:srgbClr val="0070C0"/>
            </a:solidFill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Pt>
            <c:idx val="2"/>
            <c:invertIfNegative val="0"/>
            <c:bubble3D val="0"/>
          </c:dPt>
          <c:dPt>
            <c:idx val="3"/>
            <c:invertIfNegative val="0"/>
            <c:bubble3D val="0"/>
          </c:dPt>
          <c:dPt>
            <c:idx val="4"/>
            <c:invertIfNegative val="0"/>
            <c:bubble3D val="0"/>
          </c:dPt>
          <c:dPt>
            <c:idx val="5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8"/>
            <c:invertIfNegative val="0"/>
            <c:bubble3D val="0"/>
          </c:dPt>
          <c:dPt>
            <c:idx val="9"/>
            <c:invertIfNegative val="0"/>
            <c:bubble3D val="0"/>
          </c:dPt>
          <c:dPt>
            <c:idx val="10"/>
            <c:invertIfNegative val="0"/>
            <c:bubble3D val="0"/>
          </c:dPt>
          <c:dPt>
            <c:idx val="11"/>
            <c:invertIfNegative val="0"/>
            <c:bubble3D val="0"/>
          </c:dPt>
          <c:dPt>
            <c:idx val="12"/>
            <c:invertIfNegative val="0"/>
            <c:bubble3D val="0"/>
          </c:dPt>
          <c:dPt>
            <c:idx val="13"/>
            <c:invertIfNegative val="0"/>
            <c:bubble3D val="0"/>
          </c:dPt>
          <c:dPt>
            <c:idx val="14"/>
            <c:invertIfNegative val="0"/>
            <c:bubble3D val="0"/>
          </c:dPt>
          <c:dPt>
            <c:idx val="15"/>
            <c:invertIfNegative val="0"/>
            <c:bubble3D val="0"/>
          </c:dPt>
          <c:dPt>
            <c:idx val="16"/>
            <c:invertIfNegative val="0"/>
            <c:bubble3D val="0"/>
          </c:dPt>
          <c:dPt>
            <c:idx val="17"/>
            <c:invertIfNegative val="0"/>
            <c:bubble3D val="0"/>
          </c:dPt>
          <c:dPt>
            <c:idx val="18"/>
            <c:invertIfNegative val="0"/>
            <c:bubble3D val="0"/>
          </c:dPt>
          <c:dPt>
            <c:idx val="19"/>
            <c:invertIfNegative val="0"/>
            <c:bubble3D val="0"/>
          </c:dPt>
          <c:dPt>
            <c:idx val="20"/>
            <c:invertIfNegative val="0"/>
            <c:bubble3D val="0"/>
          </c:dPt>
          <c:dPt>
            <c:idx val="21"/>
            <c:invertIfNegative val="0"/>
            <c:bubble3D val="0"/>
          </c:dPt>
          <c:dPt>
            <c:idx val="22"/>
            <c:invertIfNegative val="0"/>
            <c:bubble3D val="0"/>
          </c:dPt>
          <c:dPt>
            <c:idx val="23"/>
            <c:invertIfNegative val="0"/>
            <c:bubble3D val="0"/>
          </c:dPt>
          <c:dPt>
            <c:idx val="24"/>
            <c:invertIfNegative val="0"/>
            <c:bubble3D val="0"/>
          </c:dPt>
          <c:dPt>
            <c:idx val="25"/>
            <c:invertIfNegative val="0"/>
            <c:bubble3D val="0"/>
          </c:dPt>
          <c:dPt>
            <c:idx val="26"/>
            <c:invertIfNegative val="0"/>
            <c:bubble3D val="0"/>
          </c:dPt>
          <c:dPt>
            <c:idx val="27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28"/>
            <c:invertIfNegative val="0"/>
            <c:bubble3D val="0"/>
            <c:spPr>
              <a:solidFill>
                <a:srgbClr val="FF0000"/>
              </a:solidFill>
            </c:spPr>
          </c:dPt>
          <c:dLbls>
            <c:dLbl>
              <c:idx val="8"/>
              <c:layout>
                <c:manualLayout>
                  <c:x val="-2.2222222222222222E-3"/>
                  <c:y val="-2.0084488987235746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7"/>
              <c:layout>
                <c:manualLayout>
                  <c:x val="0"/>
                  <c:y val="-1.2444444444444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8"/>
              <c:layout>
                <c:manualLayout>
                  <c:x val="0"/>
                  <c:y val="-8.88888888888882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9"/>
              <c:layout>
                <c:manualLayout>
                  <c:x val="0"/>
                  <c:y val="-3.555555555555620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0"/>
              <c:layout>
                <c:manualLayout>
                  <c:x val="0"/>
                  <c:y val="3.555555555555555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9"/>
              <c:layout>
                <c:manualLayout>
                  <c:x val="0"/>
                  <c:y val="-1.2444444444444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1"/>
              <c:layout>
                <c:manualLayout>
                  <c:x val="1.2472715933894605E-3"/>
                  <c:y val="-1.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70">
                <a:noFill/>
              </a:ln>
            </c:spPr>
            <c:txPr>
              <a:bodyPr/>
              <a:lstStyle/>
              <a:p>
                <a:pPr>
                  <a:defRPr sz="800">
                    <a:solidFill>
                      <a:srgbClr val="00206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endParaRPr lang="zh-H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'[Graphs4a.xlsm]data (2)'!$B$122:$B$170</c:f>
              <c:strCache>
                <c:ptCount val="29"/>
                <c:pt idx="0">
                  <c:v>08Q1</c:v>
                </c:pt>
                <c:pt idx="1">
                  <c:v>08Q2</c:v>
                </c:pt>
                <c:pt idx="2">
                  <c:v>08Q3</c:v>
                </c:pt>
                <c:pt idx="3">
                  <c:v>08Q4</c:v>
                </c:pt>
                <c:pt idx="4">
                  <c:v>09Q1</c:v>
                </c:pt>
                <c:pt idx="5">
                  <c:v>09Q2</c:v>
                </c:pt>
                <c:pt idx="6">
                  <c:v>09Q3</c:v>
                </c:pt>
                <c:pt idx="7">
                  <c:v>09Q4</c:v>
                </c:pt>
                <c:pt idx="8">
                  <c:v>10Q1</c:v>
                </c:pt>
                <c:pt idx="9">
                  <c:v>10Q2</c:v>
                </c:pt>
                <c:pt idx="10">
                  <c:v>10Q3</c:v>
                </c:pt>
                <c:pt idx="11">
                  <c:v>10Q4</c:v>
                </c:pt>
                <c:pt idx="12">
                  <c:v>11Q1</c:v>
                </c:pt>
                <c:pt idx="13">
                  <c:v>11Q2</c:v>
                </c:pt>
                <c:pt idx="14">
                  <c:v>11Q3</c:v>
                </c:pt>
                <c:pt idx="15">
                  <c:v>11Q4</c:v>
                </c:pt>
                <c:pt idx="16">
                  <c:v>12Q1</c:v>
                </c:pt>
                <c:pt idx="17">
                  <c:v>12Q2</c:v>
                </c:pt>
                <c:pt idx="18">
                  <c:v>12Q3</c:v>
                </c:pt>
                <c:pt idx="19">
                  <c:v>12Q4</c:v>
                </c:pt>
                <c:pt idx="20">
                  <c:v>13Q1</c:v>
                </c:pt>
                <c:pt idx="21">
                  <c:v>13Q2</c:v>
                </c:pt>
                <c:pt idx="22">
                  <c:v>13Q3</c:v>
                </c:pt>
                <c:pt idx="23">
                  <c:v>13Q4</c:v>
                </c:pt>
                <c:pt idx="24">
                  <c:v>14Q1</c:v>
                </c:pt>
                <c:pt idx="25">
                  <c:v>14Q2</c:v>
                </c:pt>
                <c:pt idx="26">
                  <c:v>14Q3</c:v>
                </c:pt>
                <c:pt idx="27">
                  <c:v>14Q4</c:v>
                </c:pt>
                <c:pt idx="28">
                  <c:v>15Q1</c:v>
                </c:pt>
              </c:strCache>
            </c:strRef>
          </c:cat>
          <c:val>
            <c:numRef>
              <c:f>'[Graphs4a.xlsm]data (2)'!$O$122:$O$170</c:f>
              <c:numCache>
                <c:formatCode>0.0</c:formatCode>
                <c:ptCount val="29"/>
                <c:pt idx="0">
                  <c:v>9.1653517149738342</c:v>
                </c:pt>
                <c:pt idx="1">
                  <c:v>7.6932802326316496</c:v>
                </c:pt>
                <c:pt idx="2">
                  <c:v>4.0352175055726969</c:v>
                </c:pt>
                <c:pt idx="3">
                  <c:v>0.20002673388328507</c:v>
                </c:pt>
                <c:pt idx="4">
                  <c:v>-5.8548757664744429</c:v>
                </c:pt>
                <c:pt idx="5">
                  <c:v>-4.0625200110994903</c:v>
                </c:pt>
                <c:pt idx="6">
                  <c:v>0.95014432275901672</c:v>
                </c:pt>
                <c:pt idx="7">
                  <c:v>9.5254203372226556</c:v>
                </c:pt>
                <c:pt idx="8">
                  <c:v>18.136026936026937</c:v>
                </c:pt>
                <c:pt idx="9">
                  <c:v>17.177931172580287</c:v>
                </c:pt>
                <c:pt idx="10">
                  <c:v>15.413275993104335</c:v>
                </c:pt>
                <c:pt idx="11">
                  <c:v>9.459988515947181</c:v>
                </c:pt>
                <c:pt idx="12">
                  <c:v>7.3505403803183045</c:v>
                </c:pt>
                <c:pt idx="13">
                  <c:v>6.8008126607995489</c:v>
                </c:pt>
                <c:pt idx="14">
                  <c:v>4.291943721692193</c:v>
                </c:pt>
                <c:pt idx="15">
                  <c:v>3.8997579789453507</c:v>
                </c:pt>
                <c:pt idx="16">
                  <c:v>2.849083934768859</c:v>
                </c:pt>
                <c:pt idx="17">
                  <c:v>2.6120812647504543</c:v>
                </c:pt>
                <c:pt idx="18">
                  <c:v>0.13167165247924828</c:v>
                </c:pt>
                <c:pt idx="19">
                  <c:v>3.2657089089824121</c:v>
                </c:pt>
                <c:pt idx="20">
                  <c:v>4.6870095326207339</c:v>
                </c:pt>
                <c:pt idx="21">
                  <c:v>7.7095335037033808</c:v>
                </c:pt>
                <c:pt idx="22">
                  <c:v>4.9888687667977827</c:v>
                </c:pt>
                <c:pt idx="23">
                  <c:v>4.6995725640968766</c:v>
                </c:pt>
                <c:pt idx="24">
                  <c:v>3.1546886342833647</c:v>
                </c:pt>
                <c:pt idx="25">
                  <c:v>-1.9857722514668108</c:v>
                </c:pt>
                <c:pt idx="26">
                  <c:v>1.9787294820804657</c:v>
                </c:pt>
                <c:pt idx="27">
                  <c:v>2.7792967313927885</c:v>
                </c:pt>
                <c:pt idx="28">
                  <c:v>3.6595026022458566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193819008"/>
        <c:axId val="193820544"/>
      </c:barChart>
      <c:barChart>
        <c:barDir val="col"/>
        <c:grouping val="clustered"/>
        <c:varyColors val="1"/>
        <c:ser>
          <c:idx val="1"/>
          <c:order val="1"/>
          <c:spPr>
            <a:solidFill>
              <a:srgbClr val="8064A2">
                <a:lumMod val="20000"/>
                <a:lumOff val="80000"/>
                <a:alpha val="47000"/>
              </a:srgbClr>
            </a:solidFill>
            <a:ln>
              <a:noFill/>
            </a:ln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/>
          </c:spPr>
          <c:invertIfNegative val="0"/>
          <c:val>
            <c:numRef>
              <c:f>'[Graphs4a.xlsm]data (2)'!$A$130:$A$170</c:f>
              <c:numCache>
                <c:formatCode>General</c:formatCode>
                <c:ptCount val="29"/>
                <c:pt idx="24" formatCode="g/&quot;通&quot;&quot;用&quot;&quot;格&quot;&quot;式&quot;">
                  <c:v>1</c:v>
                </c:pt>
                <c:pt idx="25" formatCode="g/&quot;通&quot;&quot;用&quot;&quot;格&quot;&quot;式&quot;">
                  <c:v>1</c:v>
                </c:pt>
                <c:pt idx="26" formatCode="g/&quot;通&quot;&quot;用&quot;&quot;格&quot;&quot;式&quot;">
                  <c:v>1</c:v>
                </c:pt>
                <c:pt idx="27" formatCode="g/&quot;通&quot;&quot;用&quot;&quot;格&quot;&quot;式&quot;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-4"/>
        <c:axId val="193840640"/>
        <c:axId val="193839104"/>
      </c:barChart>
      <c:catAx>
        <c:axId val="193819008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txPr>
          <a:bodyPr rot="-5400000" vert="horz"/>
          <a:lstStyle/>
          <a:p>
            <a:pPr>
              <a:defRPr sz="900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zh-HK"/>
          </a:p>
        </c:txPr>
        <c:crossAx val="193820544"/>
        <c:crosses val="autoZero"/>
        <c:auto val="0"/>
        <c:lblAlgn val="ctr"/>
        <c:lblOffset val="0"/>
        <c:tickLblSkip val="1"/>
        <c:tickMarkSkip val="1"/>
        <c:noMultiLvlLbl val="0"/>
      </c:catAx>
      <c:valAx>
        <c:axId val="193820544"/>
        <c:scaling>
          <c:orientation val="minMax"/>
        </c:scaling>
        <c:delete val="0"/>
        <c:axPos val="l"/>
        <c:majorGridlines>
          <c:spPr>
            <a:ln>
              <a:gradFill>
                <a:gsLst>
                  <a:gs pos="0">
                    <a:srgbClr val="5B9BD5">
                      <a:lumMod val="5000"/>
                      <a:lumOff val="95000"/>
                    </a:srgbClr>
                  </a:gs>
                  <a:gs pos="74000">
                    <a:srgbClr val="5B9BD5">
                      <a:lumMod val="45000"/>
                      <a:lumOff val="55000"/>
                    </a:srgbClr>
                  </a:gs>
                  <a:gs pos="83000">
                    <a:srgbClr val="5B9BD5">
                      <a:lumMod val="45000"/>
                      <a:lumOff val="55000"/>
                    </a:srgbClr>
                  </a:gs>
                  <a:gs pos="100000">
                    <a:srgbClr val="5B9BD5">
                      <a:lumMod val="30000"/>
                      <a:lumOff val="70000"/>
                    </a:srgbClr>
                  </a:gs>
                </a:gsLst>
                <a:lin ang="5400000" scaled="1"/>
              </a:gradFill>
              <a:prstDash val="solid"/>
            </a:ln>
          </c:spPr>
        </c:majorGridlines>
        <c:title>
          <c:tx>
            <c:rich>
              <a:bodyPr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900" b="1" i="0" u="none" strike="noStrike" kern="1200" baseline="0">
                    <a:solidFill>
                      <a:srgbClr val="00206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r>
                  <a:rPr lang="zh-TW" altLang="en-US" sz="900" b="1" i="0" baseline="0">
                    <a:effectLst/>
                  </a:rPr>
                  <a:t>按年百分比</a:t>
                </a:r>
                <a:endParaRPr lang="en-US" sz="900"/>
              </a:p>
            </c:rich>
          </c:tx>
          <c:layout>
            <c:manualLayout>
              <c:xMode val="edge"/>
              <c:yMode val="edge"/>
              <c:x val="1.2957655293088365E-2"/>
              <c:y val="0.41405384142933055"/>
            </c:manualLayout>
          </c:layout>
          <c:overlay val="0"/>
        </c:title>
        <c:numFmt formatCode="0.0" sourceLinked="1"/>
        <c:majorTickMark val="cross"/>
        <c:minorTickMark val="none"/>
        <c:tickLblPos val="nextTo"/>
        <c:txPr>
          <a:bodyPr rot="0" vert="horz"/>
          <a:lstStyle/>
          <a:p>
            <a:pPr>
              <a:defRPr sz="900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zh-HK"/>
          </a:p>
        </c:txPr>
        <c:crossAx val="193819008"/>
        <c:crosses val="autoZero"/>
        <c:crossBetween val="between"/>
      </c:valAx>
      <c:valAx>
        <c:axId val="193839104"/>
        <c:scaling>
          <c:orientation val="minMax"/>
          <c:max val="1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>
                <a:solidFill>
                  <a:schemeClr val="bg1"/>
                </a:solidFill>
              </a:defRPr>
            </a:pPr>
            <a:endParaRPr lang="zh-HK"/>
          </a:p>
        </c:txPr>
        <c:crossAx val="193840640"/>
        <c:crosses val="max"/>
        <c:crossBetween val="between"/>
        <c:majorUnit val="1"/>
      </c:valAx>
      <c:catAx>
        <c:axId val="193840640"/>
        <c:scaling>
          <c:orientation val="minMax"/>
        </c:scaling>
        <c:delete val="1"/>
        <c:axPos val="b"/>
        <c:majorTickMark val="out"/>
        <c:minorTickMark val="none"/>
        <c:tickLblPos val="nextTo"/>
        <c:crossAx val="193839104"/>
        <c:crosses val="autoZero"/>
        <c:auto val="1"/>
        <c:lblAlgn val="ctr"/>
        <c:lblOffset val="100"/>
        <c:noMultiLvlLbl val="0"/>
      </c:catAx>
      <c:spPr>
        <a:noFill/>
        <a:ln w="2537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9"/>
      </a:pPr>
      <a:endParaRPr lang="zh-HK"/>
    </a:p>
  </c:txPr>
  <c:externalData r:id="rId2">
    <c:autoUpdate val="0"/>
  </c:externalData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HK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anchor="t" anchorCtr="1"/>
          <a:lstStyle/>
          <a:p>
            <a:pPr>
              <a:defRPr sz="1048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zh-TW" altLang="en-US"/>
              <a:t>服務進口</a:t>
            </a:r>
            <a:endParaRPr lang="en-US" altLang="zh-TW"/>
          </a:p>
          <a:p>
            <a:pPr>
              <a:defRPr sz="1048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en-US" sz="900"/>
              <a:t>(2012 Prices)</a:t>
            </a:r>
          </a:p>
        </c:rich>
      </c:tx>
      <c:layout>
        <c:manualLayout>
          <c:xMode val="edge"/>
          <c:yMode val="edge"/>
          <c:x val="0.4264946631671041"/>
          <c:y val="5.7778437204551881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1026631671041121"/>
          <c:y val="0.15819663646338689"/>
          <c:w val="0.8481837270341207"/>
          <c:h val="0.71179584147073638"/>
        </c:manualLayout>
      </c:layout>
      <c:barChart>
        <c:barDir val="col"/>
        <c:grouping val="clustered"/>
        <c:varyColors val="1"/>
        <c:ser>
          <c:idx val="0"/>
          <c:order val="0"/>
          <c:spPr>
            <a:solidFill>
              <a:srgbClr val="0070C0"/>
            </a:solidFill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Pt>
            <c:idx val="2"/>
            <c:invertIfNegative val="0"/>
            <c:bubble3D val="0"/>
          </c:dPt>
          <c:dPt>
            <c:idx val="3"/>
            <c:invertIfNegative val="0"/>
            <c:bubble3D val="0"/>
          </c:dPt>
          <c:dPt>
            <c:idx val="4"/>
            <c:invertIfNegative val="0"/>
            <c:bubble3D val="0"/>
          </c:dPt>
          <c:dPt>
            <c:idx val="5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8"/>
            <c:invertIfNegative val="0"/>
            <c:bubble3D val="0"/>
          </c:dPt>
          <c:dPt>
            <c:idx val="9"/>
            <c:invertIfNegative val="0"/>
            <c:bubble3D val="0"/>
          </c:dPt>
          <c:dPt>
            <c:idx val="10"/>
            <c:invertIfNegative val="0"/>
            <c:bubble3D val="0"/>
          </c:dPt>
          <c:dPt>
            <c:idx val="11"/>
            <c:invertIfNegative val="0"/>
            <c:bubble3D val="0"/>
          </c:dPt>
          <c:dPt>
            <c:idx val="12"/>
            <c:invertIfNegative val="0"/>
            <c:bubble3D val="0"/>
          </c:dPt>
          <c:dPt>
            <c:idx val="13"/>
            <c:invertIfNegative val="0"/>
            <c:bubble3D val="0"/>
          </c:dPt>
          <c:dPt>
            <c:idx val="14"/>
            <c:invertIfNegative val="0"/>
            <c:bubble3D val="0"/>
          </c:dPt>
          <c:dPt>
            <c:idx val="15"/>
            <c:invertIfNegative val="0"/>
            <c:bubble3D val="0"/>
          </c:dPt>
          <c:dPt>
            <c:idx val="16"/>
            <c:invertIfNegative val="0"/>
            <c:bubble3D val="0"/>
          </c:dPt>
          <c:dPt>
            <c:idx val="17"/>
            <c:invertIfNegative val="0"/>
            <c:bubble3D val="0"/>
          </c:dPt>
          <c:dPt>
            <c:idx val="18"/>
            <c:invertIfNegative val="0"/>
            <c:bubble3D val="0"/>
          </c:dPt>
          <c:dPt>
            <c:idx val="19"/>
            <c:invertIfNegative val="0"/>
            <c:bubble3D val="0"/>
          </c:dPt>
          <c:dPt>
            <c:idx val="20"/>
            <c:invertIfNegative val="0"/>
            <c:bubble3D val="0"/>
          </c:dPt>
          <c:dPt>
            <c:idx val="21"/>
            <c:invertIfNegative val="0"/>
            <c:bubble3D val="0"/>
          </c:dPt>
          <c:dPt>
            <c:idx val="22"/>
            <c:invertIfNegative val="0"/>
            <c:bubble3D val="0"/>
          </c:dPt>
          <c:dPt>
            <c:idx val="23"/>
            <c:invertIfNegative val="0"/>
            <c:bubble3D val="0"/>
          </c:dPt>
          <c:dPt>
            <c:idx val="24"/>
            <c:invertIfNegative val="0"/>
            <c:bubble3D val="0"/>
          </c:dPt>
          <c:dPt>
            <c:idx val="25"/>
            <c:invertIfNegative val="0"/>
            <c:bubble3D val="0"/>
          </c:dPt>
          <c:dPt>
            <c:idx val="26"/>
            <c:invertIfNegative val="0"/>
            <c:bubble3D val="0"/>
          </c:dPt>
          <c:dPt>
            <c:idx val="27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28"/>
            <c:invertIfNegative val="0"/>
            <c:bubble3D val="0"/>
            <c:spPr>
              <a:solidFill>
                <a:srgbClr val="FF0000"/>
              </a:solidFill>
            </c:spPr>
          </c:dPt>
          <c:dLbls>
            <c:dLbl>
              <c:idx val="8"/>
              <c:layout>
                <c:manualLayout>
                  <c:x val="-2.2222222222223038E-3"/>
                  <c:y val="-4.0168977974471491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7"/>
              <c:layout>
                <c:manualLayout>
                  <c:x val="0"/>
                  <c:y val="-1.2444444444444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8"/>
              <c:layout>
                <c:manualLayout>
                  <c:x val="0"/>
                  <c:y val="-8.88888888888882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9"/>
              <c:layout>
                <c:manualLayout>
                  <c:x val="0"/>
                  <c:y val="-3.555555555555620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0"/>
              <c:layout>
                <c:manualLayout>
                  <c:x val="0"/>
                  <c:y val="3.555555555555555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9"/>
              <c:layout>
                <c:manualLayout>
                  <c:x val="0"/>
                  <c:y val="-1.2444444444444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1"/>
              <c:layout>
                <c:manualLayout>
                  <c:x val="1.2472715933894605E-3"/>
                  <c:y val="-1.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70">
                <a:noFill/>
              </a:ln>
            </c:spPr>
            <c:txPr>
              <a:bodyPr/>
              <a:lstStyle/>
              <a:p>
                <a:pPr>
                  <a:defRPr sz="800">
                    <a:solidFill>
                      <a:srgbClr val="00206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endParaRPr lang="zh-H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'[Graphs4a.xlsm]data (2)'!$B$122:$B$170</c:f>
              <c:strCache>
                <c:ptCount val="29"/>
                <c:pt idx="0">
                  <c:v>08Q1</c:v>
                </c:pt>
                <c:pt idx="1">
                  <c:v>08Q2</c:v>
                </c:pt>
                <c:pt idx="2">
                  <c:v>08Q3</c:v>
                </c:pt>
                <c:pt idx="3">
                  <c:v>08Q4</c:v>
                </c:pt>
                <c:pt idx="4">
                  <c:v>09Q1</c:v>
                </c:pt>
                <c:pt idx="5">
                  <c:v>09Q2</c:v>
                </c:pt>
                <c:pt idx="6">
                  <c:v>09Q3</c:v>
                </c:pt>
                <c:pt idx="7">
                  <c:v>09Q4</c:v>
                </c:pt>
                <c:pt idx="8">
                  <c:v>10Q1</c:v>
                </c:pt>
                <c:pt idx="9">
                  <c:v>10Q2</c:v>
                </c:pt>
                <c:pt idx="10">
                  <c:v>10Q3</c:v>
                </c:pt>
                <c:pt idx="11">
                  <c:v>10Q4</c:v>
                </c:pt>
                <c:pt idx="12">
                  <c:v>11Q1</c:v>
                </c:pt>
                <c:pt idx="13">
                  <c:v>11Q2</c:v>
                </c:pt>
                <c:pt idx="14">
                  <c:v>11Q3</c:v>
                </c:pt>
                <c:pt idx="15">
                  <c:v>11Q4</c:v>
                </c:pt>
                <c:pt idx="16">
                  <c:v>12Q1</c:v>
                </c:pt>
                <c:pt idx="17">
                  <c:v>12Q2</c:v>
                </c:pt>
                <c:pt idx="18">
                  <c:v>12Q3</c:v>
                </c:pt>
                <c:pt idx="19">
                  <c:v>12Q4</c:v>
                </c:pt>
                <c:pt idx="20">
                  <c:v>13Q1</c:v>
                </c:pt>
                <c:pt idx="21">
                  <c:v>13Q2</c:v>
                </c:pt>
                <c:pt idx="22">
                  <c:v>13Q3</c:v>
                </c:pt>
                <c:pt idx="23">
                  <c:v>13Q4</c:v>
                </c:pt>
                <c:pt idx="24">
                  <c:v>14Q1</c:v>
                </c:pt>
                <c:pt idx="25">
                  <c:v>14Q2</c:v>
                </c:pt>
                <c:pt idx="26">
                  <c:v>14Q3</c:v>
                </c:pt>
                <c:pt idx="27">
                  <c:v>14Q4</c:v>
                </c:pt>
                <c:pt idx="28">
                  <c:v>15Q1</c:v>
                </c:pt>
              </c:strCache>
            </c:strRef>
          </c:cat>
          <c:val>
            <c:numRef>
              <c:f>'[Graphs4a.xlsm]data (2)'!$Q$122:$Q$170</c:f>
              <c:numCache>
                <c:formatCode>0.0</c:formatCode>
                <c:ptCount val="29"/>
                <c:pt idx="0">
                  <c:v>13.812081718915103</c:v>
                </c:pt>
                <c:pt idx="1">
                  <c:v>6.6421102661597065</c:v>
                </c:pt>
                <c:pt idx="2">
                  <c:v>4.6074935274290407</c:v>
                </c:pt>
                <c:pt idx="3">
                  <c:v>-1.1226602986494361</c:v>
                </c:pt>
                <c:pt idx="4">
                  <c:v>-11.201593872103366</c:v>
                </c:pt>
                <c:pt idx="5">
                  <c:v>-7.2605722967839963</c:v>
                </c:pt>
                <c:pt idx="6">
                  <c:v>-4.8061566624015839</c:v>
                </c:pt>
                <c:pt idx="7">
                  <c:v>3.6016354671904338</c:v>
                </c:pt>
                <c:pt idx="8">
                  <c:v>11.901235105757291</c:v>
                </c:pt>
                <c:pt idx="9">
                  <c:v>12.700285068318106</c:v>
                </c:pt>
                <c:pt idx="10">
                  <c:v>11.657591366200638</c:v>
                </c:pt>
                <c:pt idx="11">
                  <c:v>8.2693312182004597</c:v>
                </c:pt>
                <c:pt idx="12">
                  <c:v>6.3879074566141947</c:v>
                </c:pt>
                <c:pt idx="13">
                  <c:v>3.43751514270485</c:v>
                </c:pt>
                <c:pt idx="14">
                  <c:v>1.9664871229361891</c:v>
                </c:pt>
                <c:pt idx="15">
                  <c:v>2.5104752034735611</c:v>
                </c:pt>
                <c:pt idx="16">
                  <c:v>4.449974383371158</c:v>
                </c:pt>
                <c:pt idx="17">
                  <c:v>2.4847281040362823</c:v>
                </c:pt>
                <c:pt idx="18">
                  <c:v>4.9118876297993275E-2</c:v>
                </c:pt>
                <c:pt idx="19">
                  <c:v>0.86019818547860005</c:v>
                </c:pt>
                <c:pt idx="20">
                  <c:v>0.29780674094317394</c:v>
                </c:pt>
                <c:pt idx="21">
                  <c:v>-0.72314049586776896</c:v>
                </c:pt>
                <c:pt idx="22">
                  <c:v>2.6209712149661613</c:v>
                </c:pt>
                <c:pt idx="23">
                  <c:v>5.453304299737316</c:v>
                </c:pt>
                <c:pt idx="24">
                  <c:v>-0.77811157299053635</c:v>
                </c:pt>
                <c:pt idx="25">
                  <c:v>5.0261066551251066</c:v>
                </c:pt>
                <c:pt idx="26">
                  <c:v>1.7625582273700147</c:v>
                </c:pt>
                <c:pt idx="27">
                  <c:v>0.79398617062906851</c:v>
                </c:pt>
                <c:pt idx="28">
                  <c:v>2.8224981127947357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194011904"/>
        <c:axId val="194013440"/>
      </c:barChart>
      <c:barChart>
        <c:barDir val="col"/>
        <c:grouping val="clustered"/>
        <c:varyColors val="1"/>
        <c:ser>
          <c:idx val="1"/>
          <c:order val="1"/>
          <c:spPr>
            <a:solidFill>
              <a:srgbClr val="8064A2">
                <a:lumMod val="20000"/>
                <a:lumOff val="80000"/>
                <a:alpha val="47000"/>
              </a:srgbClr>
            </a:solidFill>
            <a:ln>
              <a:noFill/>
            </a:ln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/>
          </c:spPr>
          <c:invertIfNegative val="0"/>
          <c:val>
            <c:numRef>
              <c:f>'[Graphs4a.xlsm]data (2)'!$A$130:$A$170</c:f>
              <c:numCache>
                <c:formatCode>General</c:formatCode>
                <c:ptCount val="29"/>
                <c:pt idx="24" formatCode="g/&quot;通&quot;&quot;用&quot;&quot;格&quot;&quot;式&quot;">
                  <c:v>1</c:v>
                </c:pt>
                <c:pt idx="25" formatCode="g/&quot;通&quot;&quot;用&quot;&quot;格&quot;&quot;式&quot;">
                  <c:v>1</c:v>
                </c:pt>
                <c:pt idx="26" formatCode="g/&quot;通&quot;&quot;用&quot;&quot;格&quot;&quot;式&quot;">
                  <c:v>1</c:v>
                </c:pt>
                <c:pt idx="27" formatCode="g/&quot;通&quot;&quot;用&quot;&quot;格&quot;&quot;式&quot;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-4"/>
        <c:axId val="194025344"/>
        <c:axId val="194023808"/>
      </c:barChart>
      <c:catAx>
        <c:axId val="194011904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txPr>
          <a:bodyPr rot="-5400000" vert="horz"/>
          <a:lstStyle/>
          <a:p>
            <a:pPr>
              <a:defRPr sz="900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zh-HK"/>
          </a:p>
        </c:txPr>
        <c:crossAx val="194013440"/>
        <c:crosses val="autoZero"/>
        <c:auto val="0"/>
        <c:lblAlgn val="ctr"/>
        <c:lblOffset val="0"/>
        <c:tickLblSkip val="1"/>
        <c:tickMarkSkip val="1"/>
        <c:noMultiLvlLbl val="0"/>
      </c:catAx>
      <c:valAx>
        <c:axId val="194013440"/>
        <c:scaling>
          <c:orientation val="minMax"/>
        </c:scaling>
        <c:delete val="0"/>
        <c:axPos val="l"/>
        <c:majorGridlines>
          <c:spPr>
            <a:ln>
              <a:gradFill>
                <a:gsLst>
                  <a:gs pos="0">
                    <a:srgbClr val="5B9BD5">
                      <a:lumMod val="5000"/>
                      <a:lumOff val="95000"/>
                    </a:srgbClr>
                  </a:gs>
                  <a:gs pos="74000">
                    <a:srgbClr val="5B9BD5">
                      <a:lumMod val="45000"/>
                      <a:lumOff val="55000"/>
                    </a:srgbClr>
                  </a:gs>
                  <a:gs pos="83000">
                    <a:srgbClr val="5B9BD5">
                      <a:lumMod val="45000"/>
                      <a:lumOff val="55000"/>
                    </a:srgbClr>
                  </a:gs>
                  <a:gs pos="100000">
                    <a:srgbClr val="5B9BD5">
                      <a:lumMod val="30000"/>
                      <a:lumOff val="70000"/>
                    </a:srgbClr>
                  </a:gs>
                </a:gsLst>
                <a:lin ang="5400000" scaled="1"/>
              </a:gradFill>
              <a:prstDash val="solid"/>
            </a:ln>
          </c:spPr>
        </c:majorGridlines>
        <c:title>
          <c:tx>
            <c:rich>
              <a:bodyPr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900" b="1" i="0" u="none" strike="noStrike" kern="1200" baseline="0">
                    <a:solidFill>
                      <a:srgbClr val="00206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r>
                  <a:rPr lang="zh-TW" altLang="en-US" sz="900" b="1" i="0" u="none" strike="noStrike" baseline="0">
                    <a:effectLst/>
                  </a:rPr>
                  <a:t>按年百分比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2957655293088365E-2"/>
              <c:y val="0.43596444616202107"/>
            </c:manualLayout>
          </c:layout>
          <c:overlay val="0"/>
        </c:title>
        <c:numFmt formatCode="0.0" sourceLinked="1"/>
        <c:majorTickMark val="cross"/>
        <c:minorTickMark val="none"/>
        <c:tickLblPos val="nextTo"/>
        <c:txPr>
          <a:bodyPr rot="0" vert="horz"/>
          <a:lstStyle/>
          <a:p>
            <a:pPr>
              <a:defRPr sz="900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zh-HK"/>
          </a:p>
        </c:txPr>
        <c:crossAx val="194011904"/>
        <c:crosses val="autoZero"/>
        <c:crossBetween val="between"/>
      </c:valAx>
      <c:valAx>
        <c:axId val="194023808"/>
        <c:scaling>
          <c:orientation val="minMax"/>
          <c:max val="1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>
                <a:solidFill>
                  <a:schemeClr val="bg1"/>
                </a:solidFill>
              </a:defRPr>
            </a:pPr>
            <a:endParaRPr lang="zh-HK"/>
          </a:p>
        </c:txPr>
        <c:crossAx val="194025344"/>
        <c:crosses val="max"/>
        <c:crossBetween val="between"/>
        <c:majorUnit val="1"/>
      </c:valAx>
      <c:catAx>
        <c:axId val="194025344"/>
        <c:scaling>
          <c:orientation val="minMax"/>
        </c:scaling>
        <c:delete val="1"/>
        <c:axPos val="b"/>
        <c:majorTickMark val="out"/>
        <c:minorTickMark val="none"/>
        <c:tickLblPos val="nextTo"/>
        <c:crossAx val="194023808"/>
        <c:crosses val="autoZero"/>
        <c:auto val="1"/>
        <c:lblAlgn val="ctr"/>
        <c:lblOffset val="100"/>
        <c:noMultiLvlLbl val="0"/>
      </c:catAx>
      <c:spPr>
        <a:noFill/>
        <a:ln w="2537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9"/>
      </a:pPr>
      <a:endParaRPr lang="zh-HK"/>
    </a:p>
  </c:txPr>
  <c:externalData r:id="rId2">
    <c:autoUpdate val="0"/>
  </c:externalData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HK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anchor="t" anchorCtr="1"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48" b="1" i="0" u="none" strike="noStrike" kern="1200" baseline="0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r>
              <a:rPr lang="zh-CN" altLang="en-US"/>
              <a:t>綜合消費物價指數</a:t>
            </a:r>
            <a:endParaRPr lang="en-US" altLang="zh-CN"/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48" b="1" i="0" u="none" strike="noStrike" kern="1200" baseline="0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en-US" sz="900"/>
          </a:p>
        </c:rich>
      </c:tx>
      <c:layout>
        <c:manualLayout>
          <c:xMode val="edge"/>
          <c:yMode val="edge"/>
          <c:x val="0.40649466316710409"/>
          <c:y val="8.9543167015177748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359965004374454"/>
          <c:y val="0.10769617504927513"/>
          <c:w val="0.85485039370078741"/>
          <c:h val="0.70971070245825374"/>
        </c:manualLayout>
      </c:layout>
      <c:barChart>
        <c:barDir val="col"/>
        <c:grouping val="clustered"/>
        <c:varyColors val="1"/>
        <c:ser>
          <c:idx val="0"/>
          <c:order val="0"/>
          <c:tx>
            <c:v>Percentage</c:v>
          </c:tx>
          <c:spPr>
            <a:solidFill>
              <a:srgbClr val="0070C0"/>
            </a:solidFill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Pt>
            <c:idx val="2"/>
            <c:invertIfNegative val="0"/>
            <c:bubble3D val="0"/>
          </c:dPt>
          <c:dPt>
            <c:idx val="3"/>
            <c:invertIfNegative val="0"/>
            <c:bubble3D val="0"/>
          </c:dPt>
          <c:dPt>
            <c:idx val="4"/>
            <c:invertIfNegative val="0"/>
            <c:bubble3D val="0"/>
          </c:dPt>
          <c:dPt>
            <c:idx val="5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8"/>
            <c:invertIfNegative val="0"/>
            <c:bubble3D val="0"/>
          </c:dPt>
          <c:dPt>
            <c:idx val="9"/>
            <c:invertIfNegative val="0"/>
            <c:bubble3D val="0"/>
          </c:dPt>
          <c:dPt>
            <c:idx val="10"/>
            <c:invertIfNegative val="0"/>
            <c:bubble3D val="0"/>
          </c:dPt>
          <c:dPt>
            <c:idx val="11"/>
            <c:invertIfNegative val="0"/>
            <c:bubble3D val="0"/>
          </c:dPt>
          <c:dPt>
            <c:idx val="12"/>
            <c:invertIfNegative val="0"/>
            <c:bubble3D val="0"/>
          </c:dPt>
          <c:dPt>
            <c:idx val="13"/>
            <c:invertIfNegative val="0"/>
            <c:bubble3D val="0"/>
          </c:dPt>
          <c:dPt>
            <c:idx val="14"/>
            <c:invertIfNegative val="0"/>
            <c:bubble3D val="0"/>
          </c:dPt>
          <c:dPt>
            <c:idx val="15"/>
            <c:invertIfNegative val="0"/>
            <c:bubble3D val="0"/>
          </c:dPt>
          <c:dPt>
            <c:idx val="16"/>
            <c:invertIfNegative val="0"/>
            <c:bubble3D val="0"/>
          </c:dPt>
          <c:dPt>
            <c:idx val="17"/>
            <c:invertIfNegative val="0"/>
            <c:bubble3D val="0"/>
          </c:dPt>
          <c:dPt>
            <c:idx val="18"/>
            <c:invertIfNegative val="0"/>
            <c:bubble3D val="0"/>
          </c:dPt>
          <c:dPt>
            <c:idx val="19"/>
            <c:invertIfNegative val="0"/>
            <c:bubble3D val="0"/>
          </c:dPt>
          <c:dPt>
            <c:idx val="20"/>
            <c:invertIfNegative val="0"/>
            <c:bubble3D val="0"/>
          </c:dPt>
          <c:dPt>
            <c:idx val="21"/>
            <c:invertIfNegative val="0"/>
            <c:bubble3D val="0"/>
          </c:dPt>
          <c:dPt>
            <c:idx val="22"/>
            <c:invertIfNegative val="0"/>
            <c:bubble3D val="0"/>
          </c:dPt>
          <c:dPt>
            <c:idx val="23"/>
            <c:invertIfNegative val="0"/>
            <c:bubble3D val="0"/>
          </c:dPt>
          <c:dPt>
            <c:idx val="24"/>
            <c:invertIfNegative val="0"/>
            <c:bubble3D val="0"/>
          </c:dPt>
          <c:dPt>
            <c:idx val="25"/>
            <c:invertIfNegative val="0"/>
            <c:bubble3D val="0"/>
          </c:dPt>
          <c:dPt>
            <c:idx val="26"/>
            <c:invertIfNegative val="0"/>
            <c:bubble3D val="0"/>
          </c:dPt>
          <c:dPt>
            <c:idx val="27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28"/>
            <c:invertIfNegative val="0"/>
            <c:bubble3D val="0"/>
            <c:spPr>
              <a:solidFill>
                <a:srgbClr val="FF0000"/>
              </a:solidFill>
            </c:spPr>
          </c:dPt>
          <c:dLbls>
            <c:dLbl>
              <c:idx val="37"/>
              <c:layout>
                <c:manualLayout>
                  <c:x val="0"/>
                  <c:y val="-1.2444444444444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8"/>
              <c:layout>
                <c:manualLayout>
                  <c:x val="0"/>
                  <c:y val="-8.88888888888882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9"/>
              <c:layout>
                <c:manualLayout>
                  <c:x val="0"/>
                  <c:y val="-3.555555555555620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0"/>
              <c:layout>
                <c:manualLayout>
                  <c:x val="0"/>
                  <c:y val="3.555555555555555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9"/>
              <c:layout>
                <c:manualLayout>
                  <c:x val="0"/>
                  <c:y val="-1.2444444444444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1"/>
              <c:layout>
                <c:manualLayout>
                  <c:x val="1.2472715933894605E-3"/>
                  <c:y val="-1.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70">
                <a:noFill/>
              </a:ln>
            </c:spPr>
            <c:txPr>
              <a:bodyPr/>
              <a:lstStyle/>
              <a:p>
                <a:pPr>
                  <a:defRPr sz="800">
                    <a:solidFill>
                      <a:srgbClr val="00206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endParaRPr lang="zh-H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[Graphs4a.xlsm]cpico!$B$636:$B$664</c:f>
              <c:strCache>
                <c:ptCount val="29"/>
                <c:pt idx="0">
                  <c:v>08Q1</c:v>
                </c:pt>
                <c:pt idx="1">
                  <c:v>08Q2</c:v>
                </c:pt>
                <c:pt idx="2">
                  <c:v>08Q3</c:v>
                </c:pt>
                <c:pt idx="3">
                  <c:v>08Q4</c:v>
                </c:pt>
                <c:pt idx="4">
                  <c:v>09Q1</c:v>
                </c:pt>
                <c:pt idx="5">
                  <c:v>09Q2</c:v>
                </c:pt>
                <c:pt idx="6">
                  <c:v>09Q3</c:v>
                </c:pt>
                <c:pt idx="7">
                  <c:v>09Q4</c:v>
                </c:pt>
                <c:pt idx="8">
                  <c:v>10Q1</c:v>
                </c:pt>
                <c:pt idx="9">
                  <c:v>10Q2</c:v>
                </c:pt>
                <c:pt idx="10">
                  <c:v>10Q3</c:v>
                </c:pt>
                <c:pt idx="11">
                  <c:v>10Q4</c:v>
                </c:pt>
                <c:pt idx="12">
                  <c:v>11Q1</c:v>
                </c:pt>
                <c:pt idx="13">
                  <c:v>11Q2</c:v>
                </c:pt>
                <c:pt idx="14">
                  <c:v>11Q3</c:v>
                </c:pt>
                <c:pt idx="15">
                  <c:v>11Q4</c:v>
                </c:pt>
                <c:pt idx="16">
                  <c:v>12Q1</c:v>
                </c:pt>
                <c:pt idx="17">
                  <c:v>12Q2</c:v>
                </c:pt>
                <c:pt idx="18">
                  <c:v>12Q3</c:v>
                </c:pt>
                <c:pt idx="19">
                  <c:v>12Q4</c:v>
                </c:pt>
                <c:pt idx="20">
                  <c:v>13Q1</c:v>
                </c:pt>
                <c:pt idx="21">
                  <c:v>13Q2</c:v>
                </c:pt>
                <c:pt idx="22">
                  <c:v>13Q3</c:v>
                </c:pt>
                <c:pt idx="23">
                  <c:v>13Q4</c:v>
                </c:pt>
                <c:pt idx="24">
                  <c:v>14Q1</c:v>
                </c:pt>
                <c:pt idx="25">
                  <c:v>14Q2</c:v>
                </c:pt>
                <c:pt idx="26">
                  <c:v>14Q3</c:v>
                </c:pt>
                <c:pt idx="27">
                  <c:v>14Q4</c:v>
                </c:pt>
                <c:pt idx="28">
                  <c:v>15Q1</c:v>
                </c:pt>
              </c:strCache>
            </c:strRef>
          </c:cat>
          <c:val>
            <c:numRef>
              <c:f>[Graphs4a.xlsm]cpico!$C$712:$C$740</c:f>
              <c:numCache>
                <c:formatCode>0.0</c:formatCode>
                <c:ptCount val="29"/>
                <c:pt idx="0">
                  <c:v>4.5749279538904659</c:v>
                </c:pt>
                <c:pt idx="1">
                  <c:v>5.6630824372759747</c:v>
                </c:pt>
                <c:pt idx="2">
                  <c:v>4.6197583511016234</c:v>
                </c:pt>
                <c:pt idx="3">
                  <c:v>2.2932592077831657</c:v>
                </c:pt>
                <c:pt idx="4">
                  <c:v>1.7223561832586824</c:v>
                </c:pt>
                <c:pt idx="5">
                  <c:v>-3.3921302577994084E-2</c:v>
                </c:pt>
                <c:pt idx="6">
                  <c:v>-0.91711956521737648</c:v>
                </c:pt>
                <c:pt idx="7">
                  <c:v>1.5964673913043725</c:v>
                </c:pt>
                <c:pt idx="8">
                  <c:v>2.0995597697257153</c:v>
                </c:pt>
                <c:pt idx="9">
                  <c:v>2.7824906684763846</c:v>
                </c:pt>
                <c:pt idx="10">
                  <c:v>1.6112444292080852</c:v>
                </c:pt>
                <c:pt idx="11">
                  <c:v>2.7415580073554082</c:v>
                </c:pt>
                <c:pt idx="12">
                  <c:v>3.8142620232172391</c:v>
                </c:pt>
                <c:pt idx="13">
                  <c:v>5.1502145922746934</c:v>
                </c:pt>
                <c:pt idx="14">
                  <c:v>6.4439946018893295</c:v>
                </c:pt>
                <c:pt idx="15">
                  <c:v>5.7273023104458218</c:v>
                </c:pt>
                <c:pt idx="16">
                  <c:v>5.2076677316293996</c:v>
                </c:pt>
                <c:pt idx="17">
                  <c:v>4.2072213500784699</c:v>
                </c:pt>
                <c:pt idx="18">
                  <c:v>3.1061806656101538</c:v>
                </c:pt>
                <c:pt idx="19">
                  <c:v>3.7857802400738763</c:v>
                </c:pt>
                <c:pt idx="20">
                  <c:v>3.6744609778317709</c:v>
                </c:pt>
                <c:pt idx="21">
                  <c:v>4.0373606507984476</c:v>
                </c:pt>
                <c:pt idx="22">
                  <c:v>5.3489086996618482</c:v>
                </c:pt>
                <c:pt idx="23">
                  <c:v>4.2704626334519276</c:v>
                </c:pt>
                <c:pt idx="24">
                  <c:v>4.1593438781488032</c:v>
                </c:pt>
                <c:pt idx="25">
                  <c:v>3.6200405444540849</c:v>
                </c:pt>
                <c:pt idx="26">
                  <c:v>4.8438867814414976</c:v>
                </c:pt>
                <c:pt idx="27">
                  <c:v>5.0446530147892759</c:v>
                </c:pt>
                <c:pt idx="28">
                  <c:v>4.4218222722162324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194053632"/>
        <c:axId val="194055168"/>
      </c:barChart>
      <c:barChart>
        <c:barDir val="col"/>
        <c:grouping val="clustered"/>
        <c:varyColors val="1"/>
        <c:ser>
          <c:idx val="1"/>
          <c:order val="1"/>
          <c:spPr>
            <a:solidFill>
              <a:srgbClr val="8064A2">
                <a:lumMod val="20000"/>
                <a:lumOff val="80000"/>
                <a:alpha val="47000"/>
              </a:srgbClr>
            </a:solidFill>
            <a:ln>
              <a:noFill/>
            </a:ln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/>
          </c:spPr>
          <c:invertIfNegative val="0"/>
          <c:val>
            <c:numRef>
              <c:f>[Graphs4a.xlsm]cpico!$A$712:$A$740</c:f>
              <c:numCache>
                <c:formatCode>General</c:formatCode>
                <c:ptCount val="29"/>
                <c:pt idx="24" formatCode="g/&quot;通&quot;&quot;用&quot;&quot;格&quot;&quot;式&quot;">
                  <c:v>1</c:v>
                </c:pt>
                <c:pt idx="25" formatCode="g/&quot;通&quot;&quot;用&quot;&quot;格&quot;&quot;式&quot;">
                  <c:v>1</c:v>
                </c:pt>
                <c:pt idx="26" formatCode="g/&quot;通&quot;&quot;用&quot;&quot;格&quot;&quot;式&quot;">
                  <c:v>1</c:v>
                </c:pt>
                <c:pt idx="27" formatCode="g/&quot;通&quot;&quot;用&quot;&quot;格&quot;&quot;式&quot;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-4"/>
        <c:axId val="194075264"/>
        <c:axId val="194073728"/>
      </c:barChart>
      <c:catAx>
        <c:axId val="194053632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txPr>
          <a:bodyPr rot="-5400000" vert="horz"/>
          <a:lstStyle/>
          <a:p>
            <a:pPr>
              <a:defRPr sz="900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zh-HK"/>
          </a:p>
        </c:txPr>
        <c:crossAx val="194055168"/>
        <c:crosses val="autoZero"/>
        <c:auto val="0"/>
        <c:lblAlgn val="ctr"/>
        <c:lblOffset val="0"/>
        <c:tickLblSkip val="1"/>
        <c:tickMarkSkip val="1"/>
        <c:noMultiLvlLbl val="0"/>
      </c:catAx>
      <c:valAx>
        <c:axId val="194055168"/>
        <c:scaling>
          <c:orientation val="minMax"/>
        </c:scaling>
        <c:delete val="0"/>
        <c:axPos val="l"/>
        <c:majorGridlines>
          <c:spPr>
            <a:ln>
              <a:gradFill>
                <a:gsLst>
                  <a:gs pos="0">
                    <a:srgbClr val="4F81BD">
                      <a:lumMod val="5000"/>
                      <a:lumOff val="95000"/>
                    </a:srgbClr>
                  </a:gs>
                  <a:gs pos="74000">
                    <a:srgbClr val="4F81BD">
                      <a:lumMod val="45000"/>
                      <a:lumOff val="55000"/>
                    </a:srgbClr>
                  </a:gs>
                  <a:gs pos="83000">
                    <a:srgbClr val="4F81BD">
                      <a:lumMod val="45000"/>
                      <a:lumOff val="55000"/>
                    </a:srgbClr>
                  </a:gs>
                  <a:gs pos="100000">
                    <a:srgbClr val="4F81BD">
                      <a:lumMod val="30000"/>
                      <a:lumOff val="70000"/>
                    </a:srgbClr>
                  </a:gs>
                </a:gsLst>
                <a:lin ang="5400000" scaled="1"/>
              </a:gradFill>
              <a:prstDash val="solid"/>
            </a:ln>
          </c:spPr>
        </c:majorGridlines>
        <c:title>
          <c:tx>
            <c:rich>
              <a:bodyPr/>
              <a:lstStyle/>
              <a:p>
                <a:pPr marL="0" marR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900" b="1" i="0" u="none" strike="noStrike" kern="1200" baseline="0">
                    <a:solidFill>
                      <a:srgbClr val="002060"/>
                    </a:solidFill>
                    <a:latin typeface="Tahoma" panose="020B0604030504040204" pitchFamily="34" charset="0"/>
                    <a:ea typeface="Tahoma" panose="020B0604030504040204" pitchFamily="34" charset="0"/>
                    <a:cs typeface="Tahoma" panose="020B0604030504040204" pitchFamily="34" charset="0"/>
                  </a:defRPr>
                </a:pPr>
                <a:r>
                  <a:rPr lang="zh-TW" altLang="en-US"/>
                  <a:t>按年百分比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1.073543307086614E-2"/>
              <c:y val="0.36221723078770174"/>
            </c:manualLayout>
          </c:layout>
          <c:overlay val="0"/>
        </c:title>
        <c:numFmt formatCode="0.0" sourceLinked="1"/>
        <c:majorTickMark val="cross"/>
        <c:minorTickMark val="none"/>
        <c:tickLblPos val="nextTo"/>
        <c:txPr>
          <a:bodyPr rot="0" vert="horz"/>
          <a:lstStyle/>
          <a:p>
            <a:pPr>
              <a:defRPr sz="900">
                <a:solidFill>
                  <a:srgbClr val="002060"/>
                </a:solidFill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defRPr>
            </a:pPr>
            <a:endParaRPr lang="zh-HK"/>
          </a:p>
        </c:txPr>
        <c:crossAx val="194053632"/>
        <c:crosses val="autoZero"/>
        <c:crossBetween val="between"/>
      </c:valAx>
      <c:valAx>
        <c:axId val="194073728"/>
        <c:scaling>
          <c:orientation val="minMax"/>
          <c:max val="1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</c:spPr>
        <c:txPr>
          <a:bodyPr/>
          <a:lstStyle/>
          <a:p>
            <a:pPr>
              <a:defRPr>
                <a:solidFill>
                  <a:schemeClr val="bg1"/>
                </a:solidFill>
              </a:defRPr>
            </a:pPr>
            <a:endParaRPr lang="zh-HK"/>
          </a:p>
        </c:txPr>
        <c:crossAx val="194075264"/>
        <c:crosses val="max"/>
        <c:crossBetween val="between"/>
        <c:majorUnit val="1"/>
      </c:valAx>
      <c:catAx>
        <c:axId val="194075264"/>
        <c:scaling>
          <c:orientation val="minMax"/>
        </c:scaling>
        <c:delete val="1"/>
        <c:axPos val="b"/>
        <c:majorTickMark val="out"/>
        <c:minorTickMark val="none"/>
        <c:tickLblPos val="nextTo"/>
        <c:crossAx val="194073728"/>
        <c:crosses val="autoZero"/>
        <c:auto val="1"/>
        <c:lblAlgn val="ctr"/>
        <c:lblOffset val="100"/>
        <c:noMultiLvlLbl val="0"/>
      </c:catAx>
      <c:spPr>
        <a:noFill/>
        <a:ln w="2537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9"/>
      </a:pPr>
      <a:endParaRPr lang="zh-HK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0.83333</cdr:x>
      <cdr:y>0.15127</cdr:y>
    </cdr:from>
    <cdr:to>
      <cdr:x>0.91844</cdr:x>
      <cdr:y>0.23511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762500" y="603030"/>
          <a:ext cx="486366" cy="33422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pPr algn="ctr"/>
          <a:r>
            <a:rPr lang="en-US" sz="1100">
              <a:solidFill>
                <a:srgbClr val="002060"/>
              </a:solidFill>
            </a:rPr>
            <a:t>2.4%</a:t>
          </a:r>
        </a:p>
      </cdr:txBody>
    </cdr: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0.82708</cdr:x>
      <cdr:y>0.15509</cdr:y>
    </cdr:from>
    <cdr:to>
      <cdr:x>0.90777</cdr:x>
      <cdr:y>0.2076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726745" y="620044"/>
          <a:ext cx="461161" cy="2099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>
              <a:solidFill>
                <a:srgbClr val="002060"/>
              </a:solidFill>
            </a:rPr>
            <a:t>3.2%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0.832</cdr:x>
      <cdr:y>0.14744</cdr:y>
    </cdr:from>
    <cdr:to>
      <cdr:x>0.9131</cdr:x>
      <cdr:y>0.2007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754880" y="587790"/>
          <a:ext cx="463506" cy="21230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>
              <a:solidFill>
                <a:srgbClr val="002060"/>
              </a:solidFill>
            </a:rPr>
            <a:t>2.2%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0.83733</cdr:x>
      <cdr:y>0.14936</cdr:y>
    </cdr:from>
    <cdr:to>
      <cdr:x>0.9211</cdr:x>
      <cdr:y>0.2179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785360" y="595410"/>
          <a:ext cx="478746" cy="27326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>
              <a:solidFill>
                <a:srgbClr val="002060"/>
              </a:solidFill>
            </a:rPr>
            <a:t>0.8%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0.83077</cdr:x>
      <cdr:y>0.14362</cdr:y>
    </cdr:from>
    <cdr:to>
      <cdr:x>0.92431</cdr:x>
      <cdr:y>0.20452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747847" y="572545"/>
          <a:ext cx="534572" cy="24278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>
              <a:solidFill>
                <a:srgbClr val="002060"/>
              </a:solidFill>
            </a:rPr>
            <a:t>-3.3%</a:t>
          </a: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0.82667</cdr:x>
      <cdr:y>0.15509</cdr:y>
    </cdr:from>
    <cdr:to>
      <cdr:x>0.90777</cdr:x>
      <cdr:y>0.23702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724400" y="618270"/>
          <a:ext cx="463506" cy="32660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>
              <a:solidFill>
                <a:srgbClr val="002060"/>
              </a:solidFill>
            </a:rPr>
            <a:t>1.3%</a:t>
          </a:r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0.82533</cdr:x>
      <cdr:y>0.15509</cdr:y>
    </cdr:from>
    <cdr:to>
      <cdr:x>0.90777</cdr:x>
      <cdr:y>0.2332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716780" y="618271"/>
          <a:ext cx="471126" cy="31136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>
              <a:solidFill>
                <a:srgbClr val="002060"/>
              </a:solidFill>
            </a:rPr>
            <a:t>0.9%</a:t>
          </a:r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0.83333</cdr:x>
      <cdr:y>0.16082</cdr:y>
    </cdr:from>
    <cdr:to>
      <cdr:x>0.9211</cdr:x>
      <cdr:y>0.25996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762500" y="641130"/>
          <a:ext cx="501606" cy="39518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>
              <a:solidFill>
                <a:srgbClr val="002060"/>
              </a:solidFill>
            </a:rPr>
            <a:t>1.5%</a:t>
          </a:r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0.83067</cdr:x>
      <cdr:y>0.15509</cdr:y>
    </cdr:from>
    <cdr:to>
      <cdr:x>0.91867</cdr:x>
      <cdr:y>0.22764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747260" y="617779"/>
          <a:ext cx="502920" cy="28900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>
              <a:solidFill>
                <a:srgbClr val="002060"/>
              </a:solidFill>
            </a:rPr>
            <a:t>1.6%</a:t>
          </a:r>
        </a:p>
      </cdr:txBody>
    </cdr: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0.83538</cdr:x>
      <cdr:y>0.12694</cdr:y>
    </cdr:from>
    <cdr:to>
      <cdr:x>0.92308</cdr:x>
      <cdr:y>0.17914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774223" y="507503"/>
          <a:ext cx="501161" cy="20869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>
              <a:solidFill>
                <a:srgbClr val="002060"/>
              </a:solidFill>
            </a:rPr>
            <a:t>4.4%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C3A3D-C4F0-4CDD-8ED3-6E35B7B72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Hong Kong</Company>
  <LinksUpToDate>false</LinksUpToDate>
  <CharactersWithSpaces>4218</CharactersWithSpaces>
  <SharedDoc>false</SharedDoc>
  <HLinks>
    <vt:vector size="12" baseType="variant">
      <vt:variant>
        <vt:i4>2490432</vt:i4>
      </vt:variant>
      <vt:variant>
        <vt:i4>3</vt:i4>
      </vt:variant>
      <vt:variant>
        <vt:i4>0</vt:i4>
      </vt:variant>
      <vt:variant>
        <vt:i4>5</vt:i4>
      </vt:variant>
      <vt:variant>
        <vt:lpwstr>mailto:info@hiebs.hku.hk</vt:lpwstr>
      </vt:variant>
      <vt:variant>
        <vt:lpwstr/>
      </vt:variant>
      <vt:variant>
        <vt:i4>458804</vt:i4>
      </vt:variant>
      <vt:variant>
        <vt:i4>0</vt:i4>
      </vt:variant>
      <vt:variant>
        <vt:i4>0</vt:i4>
      </vt:variant>
      <vt:variant>
        <vt:i4>5</vt:i4>
      </vt:variant>
      <vt:variant>
        <vt:lpwstr>mailto:melwkwan@hku.hk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Benny</dc:creator>
  <cp:lastModifiedBy>Helen Ho</cp:lastModifiedBy>
  <cp:revision>2</cp:revision>
  <cp:lastPrinted>2015-01-06T02:36:00Z</cp:lastPrinted>
  <dcterms:created xsi:type="dcterms:W3CDTF">2015-01-06T07:52:00Z</dcterms:created>
  <dcterms:modified xsi:type="dcterms:W3CDTF">2015-01-06T07:52:00Z</dcterms:modified>
</cp:coreProperties>
</file>